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38A64" w14:textId="4C5299A5" w:rsidR="00975BDA" w:rsidRPr="004950BA" w:rsidRDefault="00975BDA" w:rsidP="00975BDA">
      <w:pPr>
        <w:pStyle w:val="3GPPHeader"/>
        <w:spacing w:after="60"/>
        <w:rPr>
          <w:sz w:val="32"/>
          <w:szCs w:val="32"/>
          <w:highlight w:val="yellow"/>
          <w:lang w:val="sv-SE"/>
        </w:rPr>
      </w:pPr>
      <w:r w:rsidRPr="00CE0424">
        <w:t>3GPP TSG-RAN WG</w:t>
      </w:r>
      <w:r>
        <w:t>2</w:t>
      </w:r>
      <w:r w:rsidRPr="00CE0424">
        <w:t xml:space="preserve"> #</w:t>
      </w:r>
      <w:r w:rsidRPr="00F879B6">
        <w:t>115-e</w:t>
      </w:r>
      <w:r w:rsidRPr="00CE0424">
        <w:tab/>
      </w:r>
      <w:bookmarkStart w:id="0" w:name="_GoBack"/>
      <w:r w:rsidR="005F5231" w:rsidRPr="005F5231">
        <w:rPr>
          <w:sz w:val="32"/>
          <w:szCs w:val="32"/>
        </w:rPr>
        <w:t>R2-2108399</w:t>
      </w:r>
      <w:bookmarkEnd w:id="0"/>
    </w:p>
    <w:p w14:paraId="3280DCBF" w14:textId="77777777" w:rsidR="00975BDA" w:rsidRPr="00CE0424" w:rsidRDefault="00975BDA" w:rsidP="00975BDA">
      <w:pPr>
        <w:pStyle w:val="3GPPHeader"/>
      </w:pPr>
      <w:r>
        <w:t xml:space="preserve">Electronic meeting, </w:t>
      </w:r>
      <w:r w:rsidRPr="00121EC3">
        <w:t>2021-0</w:t>
      </w:r>
      <w:r w:rsidRPr="00121EC3">
        <w:rPr>
          <w:rFonts w:hint="eastAsia"/>
        </w:rPr>
        <w:t>8</w:t>
      </w:r>
      <w:r w:rsidRPr="00121EC3">
        <w:t>-</w:t>
      </w:r>
      <w:r>
        <w:t>16</w:t>
      </w:r>
      <w:r w:rsidRPr="00121EC3">
        <w:t xml:space="preserve"> – 2021-0</w:t>
      </w:r>
      <w:r w:rsidRPr="00121EC3">
        <w:rPr>
          <w:rFonts w:hint="eastAsia"/>
        </w:rPr>
        <w:t>8</w:t>
      </w:r>
      <w:r w:rsidRPr="00121EC3">
        <w:t>-27</w:t>
      </w:r>
    </w:p>
    <w:p w14:paraId="14A14AA1" w14:textId="77777777" w:rsidR="00975BDA" w:rsidRPr="00CE0424" w:rsidRDefault="00975BDA" w:rsidP="00975BDA">
      <w:pPr>
        <w:pStyle w:val="3GPPHeader"/>
      </w:pPr>
    </w:p>
    <w:p w14:paraId="0AB8C1A8" w14:textId="5C4171D7" w:rsidR="00975BDA" w:rsidRDefault="00975BDA" w:rsidP="00975BDA">
      <w:pPr>
        <w:pStyle w:val="3GPPHeader"/>
      </w:pPr>
      <w:r w:rsidRPr="00CE0424">
        <w:rPr>
          <w:sz w:val="22"/>
          <w:szCs w:val="22"/>
        </w:rPr>
        <w:t>Agenda Item:</w:t>
      </w:r>
      <w:r w:rsidRPr="00CE0424">
        <w:rPr>
          <w:sz w:val="22"/>
          <w:szCs w:val="22"/>
        </w:rPr>
        <w:tab/>
      </w:r>
      <w:r w:rsidRPr="005F5231">
        <w:t>8.11.</w:t>
      </w:r>
      <w:r w:rsidR="004E4A55" w:rsidRPr="005F5231">
        <w:t>7</w:t>
      </w:r>
    </w:p>
    <w:p w14:paraId="6CEA023A" w14:textId="77777777" w:rsidR="00975BDA" w:rsidRPr="00CE0424" w:rsidRDefault="00975BDA" w:rsidP="00975BDA">
      <w:pPr>
        <w:pStyle w:val="3GPPHeader"/>
        <w:rPr>
          <w:sz w:val="22"/>
          <w:szCs w:val="22"/>
        </w:rPr>
      </w:pPr>
      <w:r>
        <w:rPr>
          <w:sz w:val="22"/>
          <w:szCs w:val="22"/>
        </w:rPr>
        <w:t>Source:</w:t>
      </w:r>
      <w:r w:rsidRPr="00CE0424">
        <w:rPr>
          <w:sz w:val="22"/>
          <w:szCs w:val="22"/>
        </w:rPr>
        <w:tab/>
        <w:t>Ericsson</w:t>
      </w:r>
    </w:p>
    <w:p w14:paraId="68644DC0" w14:textId="55B930DA" w:rsidR="00975BDA" w:rsidRPr="00CE0424" w:rsidRDefault="00975BDA" w:rsidP="00975BDA">
      <w:pPr>
        <w:pStyle w:val="3GPPHeader"/>
        <w:rPr>
          <w:sz w:val="22"/>
          <w:szCs w:val="22"/>
        </w:rPr>
      </w:pPr>
      <w:r>
        <w:rPr>
          <w:sz w:val="22"/>
          <w:szCs w:val="22"/>
        </w:rPr>
        <w:t>Title:</w:t>
      </w:r>
      <w:r w:rsidRPr="00CE0424">
        <w:rPr>
          <w:sz w:val="22"/>
          <w:szCs w:val="22"/>
        </w:rPr>
        <w:tab/>
      </w:r>
      <w:r w:rsidR="004E4A55">
        <w:rPr>
          <w:sz w:val="22"/>
          <w:szCs w:val="22"/>
        </w:rPr>
        <w:t>On high accuracy aspects</w:t>
      </w:r>
    </w:p>
    <w:p w14:paraId="6B07A121" w14:textId="77777777" w:rsidR="00975BDA" w:rsidRPr="00CE0424" w:rsidRDefault="00975BDA" w:rsidP="00975BDA">
      <w:pPr>
        <w:pStyle w:val="3GPPHeader"/>
        <w:rPr>
          <w:sz w:val="22"/>
          <w:szCs w:val="22"/>
        </w:rPr>
      </w:pPr>
      <w:r w:rsidRPr="00CE0424">
        <w:rPr>
          <w:sz w:val="22"/>
          <w:szCs w:val="22"/>
        </w:rPr>
        <w:t>Document for:</w:t>
      </w:r>
      <w:r w:rsidRPr="00CE0424">
        <w:rPr>
          <w:sz w:val="22"/>
          <w:szCs w:val="22"/>
        </w:rPr>
        <w:tab/>
      </w:r>
      <w:r w:rsidRPr="001D6E90">
        <w:rPr>
          <w:sz w:val="22"/>
          <w:szCs w:val="22"/>
        </w:rPr>
        <w:t>Discussion, Decision</w:t>
      </w:r>
    </w:p>
    <w:p w14:paraId="1EBD5BC9" w14:textId="77777777" w:rsidR="00975BDA" w:rsidRPr="00CE0424" w:rsidRDefault="00975BDA" w:rsidP="00975BDA"/>
    <w:p w14:paraId="6176FDF7" w14:textId="77777777" w:rsidR="00975BDA" w:rsidRPr="00CE0424" w:rsidRDefault="00975BDA" w:rsidP="00975BDA">
      <w:pPr>
        <w:pStyle w:val="Heading1"/>
      </w:pPr>
      <w:r>
        <w:t>1</w:t>
      </w:r>
      <w:r>
        <w:tab/>
      </w:r>
      <w:r w:rsidRPr="00CE0424">
        <w:t>Introduction</w:t>
      </w:r>
    </w:p>
    <w:p w14:paraId="2CF9E5AB" w14:textId="482512CB" w:rsidR="00975BDA" w:rsidRPr="00E41027" w:rsidRDefault="00AD2095" w:rsidP="00975BDA">
      <w:pPr>
        <w:pStyle w:val="BodyText"/>
        <w:rPr>
          <w:rFonts w:ascii="Times New Roman" w:hAnsi="Times New Roman"/>
          <w:lang w:val="en-IN"/>
        </w:rPr>
      </w:pPr>
      <w:r>
        <w:rPr>
          <w:rFonts w:ascii="Times New Roman" w:hAnsi="Times New Roman"/>
        </w:rPr>
        <w:t xml:space="preserve">Part of the </w:t>
      </w:r>
      <w:proofErr w:type="spellStart"/>
      <w:r>
        <w:rPr>
          <w:rFonts w:ascii="Times New Roman" w:hAnsi="Times New Roman"/>
        </w:rPr>
        <w:t>Rel</w:t>
      </w:r>
      <w:proofErr w:type="spellEnd"/>
      <w:r>
        <w:rPr>
          <w:rFonts w:ascii="Times New Roman" w:hAnsi="Times New Roman"/>
        </w:rPr>
        <w:t xml:space="preserve"> 17 positioning enhancements objectives concerns accuracy improvements</w:t>
      </w:r>
      <w:r w:rsidR="00975BDA" w:rsidRPr="00E41027">
        <w:rPr>
          <w:rFonts w:ascii="Times New Roman" w:hAnsi="Times New Roman"/>
          <w:lang w:val="en-IN"/>
        </w:rPr>
        <w:t xml:space="preserve"> </w:t>
      </w:r>
    </w:p>
    <w:p w14:paraId="6281B464" w14:textId="77777777" w:rsidR="00114AFF" w:rsidRDefault="00114AFF" w:rsidP="00114AFF">
      <w:pPr>
        <w:numPr>
          <w:ilvl w:val="0"/>
          <w:numId w:val="30"/>
        </w:numPr>
        <w:overflowPunct/>
        <w:autoSpaceDE/>
        <w:autoSpaceDN/>
        <w:adjustRightInd/>
        <w:spacing w:after="0" w:line="276" w:lineRule="auto"/>
        <w:ind w:left="714" w:hanging="357"/>
        <w:textAlignment w:val="auto"/>
        <w:rPr>
          <w:lang w:eastAsia="en-US"/>
        </w:rPr>
      </w:pPr>
      <w:r>
        <w:t>Specify methods, measurements, signalling, and procedures for improving positioning accuracy of the Rel-16 NR positioning methods</w:t>
      </w:r>
      <w:r>
        <w:rPr>
          <w:u w:val="single"/>
        </w:rPr>
        <w:t xml:space="preserve"> </w:t>
      </w:r>
      <w:r>
        <w:t>by mitigating UE Rx/Tx and/or gNB Rx/Tx timing delays, including</w:t>
      </w:r>
      <w:r>
        <w:rPr>
          <w:rFonts w:eastAsia="MS Mincho"/>
        </w:rPr>
        <w:t xml:space="preserve"> [RAN1, RAN2, RAN3, RAN4]</w:t>
      </w:r>
    </w:p>
    <w:p w14:paraId="24F241D0" w14:textId="77777777" w:rsidR="00114AFF" w:rsidRDefault="00114AFF" w:rsidP="00114AFF">
      <w:pPr>
        <w:numPr>
          <w:ilvl w:val="1"/>
          <w:numId w:val="30"/>
        </w:numPr>
        <w:overflowPunct/>
        <w:autoSpaceDE/>
        <w:autoSpaceDN/>
        <w:adjustRightInd/>
        <w:spacing w:after="0" w:line="276" w:lineRule="auto"/>
        <w:textAlignment w:val="auto"/>
        <w:rPr>
          <w:rFonts w:eastAsia="MS Mincho"/>
        </w:rPr>
      </w:pPr>
      <w:r>
        <w:t>DL, UL and DL+UL positioning methods</w:t>
      </w:r>
    </w:p>
    <w:p w14:paraId="7CD38819" w14:textId="77777777" w:rsidR="00114AFF" w:rsidRDefault="00114AFF" w:rsidP="00114AFF">
      <w:pPr>
        <w:numPr>
          <w:ilvl w:val="1"/>
          <w:numId w:val="30"/>
        </w:numPr>
        <w:overflowPunct/>
        <w:autoSpaceDE/>
        <w:autoSpaceDN/>
        <w:adjustRightInd/>
        <w:spacing w:after="0" w:line="276" w:lineRule="auto"/>
        <w:textAlignment w:val="auto"/>
        <w:rPr>
          <w:rFonts w:eastAsia="MS Mincho"/>
        </w:rPr>
      </w:pPr>
      <w:r>
        <w:t>UE-based and UE-assisted positioning solutions</w:t>
      </w:r>
    </w:p>
    <w:p w14:paraId="5A19287B" w14:textId="77777777" w:rsidR="00114AFF" w:rsidRDefault="00114AFF" w:rsidP="00114AFF">
      <w:pPr>
        <w:spacing w:after="0" w:line="276" w:lineRule="auto"/>
        <w:ind w:left="1440"/>
        <w:rPr>
          <w:rFonts w:eastAsia="MS Mincho"/>
        </w:rPr>
      </w:pPr>
    </w:p>
    <w:p w14:paraId="1232EB33" w14:textId="77777777" w:rsidR="00114AFF" w:rsidRDefault="00114AFF" w:rsidP="00114AFF">
      <w:pPr>
        <w:numPr>
          <w:ilvl w:val="0"/>
          <w:numId w:val="31"/>
        </w:numPr>
        <w:overflowPunct/>
        <w:autoSpaceDE/>
        <w:autoSpaceDN/>
        <w:adjustRightInd/>
        <w:spacing w:after="160" w:line="256" w:lineRule="auto"/>
        <w:textAlignment w:val="auto"/>
        <w:rPr>
          <w:rFonts w:eastAsia="MS Mincho"/>
        </w:rPr>
      </w:pPr>
      <w:r>
        <w:rPr>
          <w:rFonts w:eastAsia="MS Mincho"/>
        </w:rPr>
        <w:t>Specify the procedure, measurements, reporting, and signalling for improving the accuracy of [RAN1, RAN2, RAN3]</w:t>
      </w:r>
    </w:p>
    <w:p w14:paraId="4675C850" w14:textId="77777777" w:rsidR="00114AFF" w:rsidRDefault="00114AFF" w:rsidP="00114AFF">
      <w:pPr>
        <w:numPr>
          <w:ilvl w:val="1"/>
          <w:numId w:val="31"/>
        </w:numPr>
        <w:overflowPunct/>
        <w:autoSpaceDE/>
        <w:autoSpaceDN/>
        <w:adjustRightInd/>
        <w:spacing w:after="160" w:line="256" w:lineRule="auto"/>
        <w:textAlignment w:val="auto"/>
        <w:rPr>
          <w:rFonts w:eastAsia="MS Mincho"/>
        </w:rPr>
      </w:pPr>
      <w:r>
        <w:rPr>
          <w:rFonts w:eastAsia="MS Mincho"/>
        </w:rPr>
        <w:t xml:space="preserve">UL </w:t>
      </w:r>
      <w:proofErr w:type="spellStart"/>
      <w:r>
        <w:rPr>
          <w:rFonts w:eastAsia="MS Mincho"/>
        </w:rPr>
        <w:t>AoA</w:t>
      </w:r>
      <w:proofErr w:type="spellEnd"/>
      <w:r>
        <w:rPr>
          <w:rFonts w:eastAsia="MS Mincho"/>
        </w:rPr>
        <w:t xml:space="preserve"> for network-based positioning solutions.</w:t>
      </w:r>
    </w:p>
    <w:p w14:paraId="2F92752A" w14:textId="77777777" w:rsidR="00114AFF" w:rsidRDefault="00114AFF" w:rsidP="00114AFF">
      <w:pPr>
        <w:numPr>
          <w:ilvl w:val="1"/>
          <w:numId w:val="31"/>
        </w:numPr>
        <w:overflowPunct/>
        <w:autoSpaceDE/>
        <w:autoSpaceDN/>
        <w:adjustRightInd/>
        <w:spacing w:after="160" w:line="256" w:lineRule="auto"/>
        <w:textAlignment w:val="auto"/>
        <w:rPr>
          <w:rFonts w:eastAsia="MS Mincho"/>
        </w:rPr>
      </w:pPr>
      <w:r>
        <w:rPr>
          <w:rFonts w:eastAsia="MS Mincho"/>
        </w:rPr>
        <w:t>DL-AoD for UE-based and network-based (including UE-assisted) positioning solutions.</w:t>
      </w:r>
    </w:p>
    <w:p w14:paraId="4156FF12" w14:textId="77777777" w:rsidR="00FE3951" w:rsidRDefault="00FE3951" w:rsidP="00FE3951">
      <w:pPr>
        <w:numPr>
          <w:ilvl w:val="0"/>
          <w:numId w:val="31"/>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529EE822" w14:textId="77777777" w:rsidR="00975BDA" w:rsidRPr="00E41027" w:rsidRDefault="00975BDA" w:rsidP="00975BDA">
      <w:pPr>
        <w:pStyle w:val="BodyText"/>
        <w:rPr>
          <w:rFonts w:ascii="Times New Roman" w:hAnsi="Times New Roman"/>
        </w:rPr>
      </w:pPr>
    </w:p>
    <w:p w14:paraId="353C309A" w14:textId="3339C414" w:rsidR="00975BDA" w:rsidRPr="00760492" w:rsidRDefault="00975BDA" w:rsidP="00875E6E">
      <w:pPr>
        <w:rPr>
          <w:lang w:val="en-IN"/>
        </w:rPr>
      </w:pPr>
      <w:bookmarkStart w:id="1" w:name="_Ref178064866"/>
      <w:r w:rsidRPr="009E2E72">
        <w:rPr>
          <w:sz w:val="22"/>
          <w:szCs w:val="22"/>
          <w:lang w:val="en-IN"/>
        </w:rPr>
        <w:t xml:space="preserve">In this paper, we discuss </w:t>
      </w:r>
      <w:r w:rsidR="008C6D2B">
        <w:rPr>
          <w:lang w:val="en-IN"/>
        </w:rPr>
        <w:t>high accuracy aspects</w:t>
      </w:r>
      <w:r w:rsidRPr="00E41027">
        <w:rPr>
          <w:lang w:val="en-IN"/>
        </w:rPr>
        <w:t>.</w:t>
      </w:r>
      <w:r w:rsidRPr="00760492">
        <w:rPr>
          <w:lang w:val="en-IN"/>
        </w:rPr>
        <w:t xml:space="preserve"> </w:t>
      </w:r>
    </w:p>
    <w:p w14:paraId="6DD2B697" w14:textId="469BAFD3" w:rsidR="00975BDA" w:rsidRPr="003D285F" w:rsidRDefault="00975BDA" w:rsidP="004F5ADC">
      <w:pPr>
        <w:pStyle w:val="Heading1"/>
        <w:rPr>
          <w:rFonts w:ascii="Times New Roman" w:hAnsi="Times New Roman"/>
          <w:b/>
          <w:bCs/>
        </w:rPr>
      </w:pPr>
      <w:r>
        <w:t>2</w:t>
      </w:r>
      <w:r>
        <w:tab/>
      </w:r>
      <w:r w:rsidR="004F5ADC">
        <w:t>Discussion</w:t>
      </w:r>
      <w:bookmarkEnd w:id="1"/>
    </w:p>
    <w:p w14:paraId="33369BC6" w14:textId="77777777" w:rsidR="00875E6E" w:rsidRPr="009E2E72" w:rsidRDefault="00875E6E" w:rsidP="00875E6E">
      <w:pPr>
        <w:rPr>
          <w:sz w:val="22"/>
          <w:szCs w:val="22"/>
        </w:rPr>
      </w:pPr>
      <w:r w:rsidRPr="009E2E72">
        <w:rPr>
          <w:sz w:val="22"/>
          <w:szCs w:val="22"/>
        </w:rPr>
        <w:t>Different positioning enhancements contribute in different ways to the benefit of high accuracy positioning, including different aspects of richer reporting for enhanced UE-assisted positioning. The enhancements can be separated in some different categories, matching the WID objectives:</w:t>
      </w:r>
    </w:p>
    <w:p w14:paraId="32F9C675" w14:textId="75586739" w:rsidR="009E2E72" w:rsidRPr="009E2E72" w:rsidRDefault="00875E6E" w:rsidP="009E2E72">
      <w:pPr>
        <w:pStyle w:val="ListParagraph"/>
        <w:numPr>
          <w:ilvl w:val="0"/>
          <w:numId w:val="33"/>
        </w:numPr>
        <w:rPr>
          <w:rFonts w:ascii="Times New Roman" w:hAnsi="Times New Roman"/>
        </w:rPr>
      </w:pPr>
      <w:r w:rsidRPr="009E2E72">
        <w:rPr>
          <w:rFonts w:ascii="Times New Roman" w:hAnsi="Times New Roman"/>
          <w:lang w:val="en-US"/>
        </w:rPr>
        <w:t xml:space="preserve">Support </w:t>
      </w:r>
      <w:r w:rsidR="009E2E72">
        <w:rPr>
          <w:rFonts w:ascii="Times New Roman" w:hAnsi="Times New Roman"/>
          <w:lang w:val="en-US"/>
        </w:rPr>
        <w:t>for timing delay management</w:t>
      </w:r>
    </w:p>
    <w:p w14:paraId="5ED5C236" w14:textId="58F731B0" w:rsidR="009E2E72" w:rsidRPr="009E2E72" w:rsidRDefault="009E2E72" w:rsidP="009E2E72">
      <w:pPr>
        <w:pStyle w:val="ListParagraph"/>
        <w:numPr>
          <w:ilvl w:val="0"/>
          <w:numId w:val="33"/>
        </w:numPr>
        <w:rPr>
          <w:rFonts w:ascii="Times New Roman" w:hAnsi="Times New Roman"/>
        </w:rPr>
      </w:pPr>
      <w:r>
        <w:rPr>
          <w:rFonts w:ascii="Times New Roman" w:hAnsi="Times New Roman"/>
          <w:lang w:val="en-US"/>
        </w:rPr>
        <w:t>Enhancements to DL-AoD and UL-</w:t>
      </w:r>
      <w:proofErr w:type="spellStart"/>
      <w:r>
        <w:rPr>
          <w:rFonts w:ascii="Times New Roman" w:hAnsi="Times New Roman"/>
          <w:lang w:val="en-US"/>
        </w:rPr>
        <w:t>AoA</w:t>
      </w:r>
      <w:proofErr w:type="spellEnd"/>
    </w:p>
    <w:p w14:paraId="20A65900" w14:textId="553DEEDE" w:rsidR="009E2E72" w:rsidRPr="009E2E72" w:rsidRDefault="009E2E72" w:rsidP="00875E6E">
      <w:pPr>
        <w:pStyle w:val="ListParagraph"/>
        <w:numPr>
          <w:ilvl w:val="0"/>
          <w:numId w:val="33"/>
        </w:numPr>
        <w:rPr>
          <w:rFonts w:ascii="Times New Roman" w:hAnsi="Times New Roman"/>
        </w:rPr>
      </w:pPr>
      <w:r w:rsidRPr="009E2E72">
        <w:rPr>
          <w:rFonts w:ascii="Times New Roman" w:hAnsi="Times New Roman"/>
          <w:lang w:val="en-US"/>
        </w:rPr>
        <w:t xml:space="preserve">Support for </w:t>
      </w:r>
      <w:bookmarkStart w:id="2" w:name="_Hlk79040125"/>
      <w:r>
        <w:rPr>
          <w:rFonts w:ascii="Times New Roman" w:hAnsi="Times New Roman"/>
          <w:lang w:val="en-US"/>
        </w:rPr>
        <w:t>further</w:t>
      </w:r>
      <w:r w:rsidRPr="009E2E72">
        <w:rPr>
          <w:rFonts w:ascii="Times New Roman" w:hAnsi="Times New Roman"/>
          <w:lang w:val="en-US"/>
        </w:rPr>
        <w:t xml:space="preserve"> </w:t>
      </w:r>
      <w:r>
        <w:rPr>
          <w:rFonts w:ascii="Times New Roman" w:hAnsi="Times New Roman"/>
          <w:lang w:val="en-US"/>
        </w:rPr>
        <w:t>multipath/NLOS management</w:t>
      </w:r>
      <w:bookmarkEnd w:id="2"/>
    </w:p>
    <w:p w14:paraId="75CE5374" w14:textId="77777777" w:rsidR="009E2E72" w:rsidRDefault="009E2E72" w:rsidP="009E2E72">
      <w:pPr>
        <w:rPr>
          <w:lang w:val="en-US"/>
        </w:rPr>
      </w:pPr>
    </w:p>
    <w:p w14:paraId="32B6EAC7" w14:textId="1E1DBC52" w:rsidR="009E2E72" w:rsidRPr="009E2E72" w:rsidRDefault="009E2E72" w:rsidP="009E2E72">
      <w:pPr>
        <w:rPr>
          <w:sz w:val="24"/>
          <w:szCs w:val="24"/>
        </w:rPr>
      </w:pPr>
      <w:r w:rsidRPr="009E2E72">
        <w:rPr>
          <w:sz w:val="22"/>
          <w:szCs w:val="22"/>
          <w:lang w:val="en-US"/>
        </w:rPr>
        <w:t xml:space="preserve">In this paper, we discuss these aspects from a RAN2 perspective </w:t>
      </w:r>
    </w:p>
    <w:p w14:paraId="0C0FB767" w14:textId="45510CC1" w:rsidR="004F5ADC" w:rsidRDefault="009E2E72" w:rsidP="009E2E72">
      <w:pPr>
        <w:pStyle w:val="Heading2"/>
      </w:pPr>
      <w:r>
        <w:lastRenderedPageBreak/>
        <w:t>2.1</w:t>
      </w:r>
      <w:r>
        <w:tab/>
      </w:r>
      <w:r w:rsidR="000861FC">
        <w:t>Timing delay management</w:t>
      </w:r>
    </w:p>
    <w:p w14:paraId="49027462" w14:textId="16D5A128" w:rsidR="000861FC" w:rsidRDefault="000861FC" w:rsidP="000861FC">
      <w:pPr>
        <w:rPr>
          <w:sz w:val="22"/>
          <w:szCs w:val="22"/>
        </w:rPr>
      </w:pPr>
      <w:r w:rsidRPr="000861FC">
        <w:rPr>
          <w:sz w:val="22"/>
          <w:szCs w:val="22"/>
        </w:rPr>
        <w:t xml:space="preserve">A key </w:t>
      </w:r>
      <w:r>
        <w:rPr>
          <w:sz w:val="22"/>
          <w:szCs w:val="22"/>
        </w:rPr>
        <w:t>error contribution stems from timing delays between different entities such as antenna panels in the TX and RX chains of the transceivers. RAN1 has introduced the notion of timing error groups (TEG), where there are no timing delays between entities of the same TEG, but timing delays cannot be precluded between entities of different TEGs.</w:t>
      </w:r>
    </w:p>
    <w:p w14:paraId="6EB5CB7A" w14:textId="2AF666E8" w:rsidR="00FA1DC0" w:rsidRPr="00FF2D16" w:rsidRDefault="000861FC" w:rsidP="00FF2D16">
      <w:pPr>
        <w:rPr>
          <w:sz w:val="22"/>
          <w:szCs w:val="22"/>
        </w:rPr>
      </w:pPr>
      <w:r>
        <w:rPr>
          <w:sz w:val="22"/>
          <w:szCs w:val="22"/>
        </w:rPr>
        <w:t xml:space="preserve">From a positioning perspective, this implies unknown offset information between TEGs, and the offset information </w:t>
      </w:r>
      <w:r w:rsidR="00FF2D16">
        <w:rPr>
          <w:sz w:val="22"/>
          <w:szCs w:val="22"/>
        </w:rPr>
        <w:t>also needs to be estimated or at least mitigated to enable high accuracy positioning. As a start, the TEG of a reported timing measurement needs to be understood by the receiving part. For timing measurements provided relative to a reference timing measurement, it is sufficient to include TEG information with timing measurements if it is considered to be different from the TEG of a reference measurement.</w:t>
      </w:r>
    </w:p>
    <w:p w14:paraId="2368C7F6" w14:textId="12EB840A" w:rsidR="00FF2D16" w:rsidRDefault="00FF2D16" w:rsidP="00FF2D16">
      <w:pPr>
        <w:pStyle w:val="Observation"/>
      </w:pPr>
      <w:bookmarkStart w:id="3" w:name="_Toc79090418"/>
      <w:r>
        <w:t>Given that different entities in a transceiver can be associated to different timings (belong to different timing error groups), it is important to provide TEG information with reported timing measurements</w:t>
      </w:r>
      <w:bookmarkEnd w:id="3"/>
    </w:p>
    <w:p w14:paraId="1029EB9E" w14:textId="585F5C20" w:rsidR="00FF2D16" w:rsidRDefault="00FF2D16" w:rsidP="00FF2D16">
      <w:pPr>
        <w:pStyle w:val="Observation"/>
      </w:pPr>
      <w:bookmarkStart w:id="4" w:name="_Toc79090419"/>
      <w:r>
        <w:t>Timing measurements that are reported relative a reference timing measurement are only required to be reported with TEG if it is different from the TEG of the reference timing measurement</w:t>
      </w:r>
      <w:bookmarkEnd w:id="4"/>
    </w:p>
    <w:p w14:paraId="1185416B" w14:textId="6BE11B01" w:rsidR="00A94B47" w:rsidRPr="00FF2D16" w:rsidRDefault="00FF2D16" w:rsidP="00FF2D16">
      <w:pPr>
        <w:rPr>
          <w:sz w:val="22"/>
          <w:szCs w:val="22"/>
        </w:rPr>
      </w:pPr>
      <w:r w:rsidRPr="00FF2D16">
        <w:rPr>
          <w:sz w:val="22"/>
          <w:szCs w:val="22"/>
        </w:rPr>
        <w:t xml:space="preserve">Therefore, RAN2 can already before more detailed RAN1 input </w:t>
      </w:r>
      <w:r w:rsidR="00753EB2">
        <w:rPr>
          <w:sz w:val="22"/>
          <w:szCs w:val="22"/>
        </w:rPr>
        <w:t xml:space="preserve">has been provide </w:t>
      </w:r>
      <w:r w:rsidRPr="00FF2D16">
        <w:rPr>
          <w:sz w:val="22"/>
          <w:szCs w:val="22"/>
        </w:rPr>
        <w:t xml:space="preserve">start discussing </w:t>
      </w:r>
      <w:proofErr w:type="spellStart"/>
      <w:r w:rsidRPr="00FF2D16">
        <w:rPr>
          <w:sz w:val="22"/>
          <w:szCs w:val="22"/>
        </w:rPr>
        <w:t>signaling</w:t>
      </w:r>
      <w:proofErr w:type="spellEnd"/>
      <w:r w:rsidRPr="00FF2D16">
        <w:rPr>
          <w:sz w:val="22"/>
          <w:szCs w:val="22"/>
        </w:rPr>
        <w:t xml:space="preserve"> impacts to </w:t>
      </w:r>
      <w:r>
        <w:rPr>
          <w:sz w:val="22"/>
          <w:szCs w:val="22"/>
        </w:rPr>
        <w:t>timing measurement</w:t>
      </w:r>
      <w:r w:rsidRPr="00FF2D16">
        <w:rPr>
          <w:sz w:val="22"/>
          <w:szCs w:val="22"/>
        </w:rPr>
        <w:t xml:space="preserve"> reporting </w:t>
      </w:r>
    </w:p>
    <w:p w14:paraId="21A91387" w14:textId="7DEB33BF" w:rsidR="00FF2D16" w:rsidRDefault="00FF2D16" w:rsidP="00FF2D16">
      <w:pPr>
        <w:pStyle w:val="Proposal"/>
      </w:pPr>
      <w:bookmarkStart w:id="5" w:name="_Toc79090428"/>
      <w:r>
        <w:t>RAN2 to discuss representation of TEG in timing measurement reporting</w:t>
      </w:r>
      <w:bookmarkEnd w:id="5"/>
    </w:p>
    <w:p w14:paraId="37001716" w14:textId="2A0A6C37" w:rsidR="00FF2D16" w:rsidRDefault="00FF2D16" w:rsidP="00FF2D16">
      <w:pPr>
        <w:rPr>
          <w:sz w:val="22"/>
          <w:szCs w:val="22"/>
        </w:rPr>
      </w:pPr>
    </w:p>
    <w:p w14:paraId="0C160AC1" w14:textId="0FB38A20" w:rsidR="003B1204" w:rsidRDefault="003B1204" w:rsidP="00FF2D16">
      <w:pPr>
        <w:rPr>
          <w:sz w:val="22"/>
          <w:szCs w:val="22"/>
        </w:rPr>
      </w:pPr>
      <w:r>
        <w:rPr>
          <w:sz w:val="22"/>
          <w:szCs w:val="22"/>
        </w:rPr>
        <w:t>A similar situation arises in uplink transmissions, where different TX entities may be subject to different TX TEGs. Therefore, UL-SRS for positioning needs to be associated to a TEG.</w:t>
      </w:r>
    </w:p>
    <w:p w14:paraId="75C6AF09" w14:textId="58AE1125" w:rsidR="003B1204" w:rsidRPr="00111547" w:rsidRDefault="003B1204" w:rsidP="00FF2D16">
      <w:pPr>
        <w:pStyle w:val="Observation"/>
      </w:pPr>
      <w:bookmarkStart w:id="6" w:name="_Toc79090420"/>
      <w:r>
        <w:t xml:space="preserve">Given that different entities in a transceiver can be associated to different timings (belong to different timing error groups), it is important to </w:t>
      </w:r>
      <w:r w:rsidR="00111547">
        <w:t>associate</w:t>
      </w:r>
      <w:r>
        <w:t xml:space="preserve"> TEG information with </w:t>
      </w:r>
      <w:r w:rsidR="00111547">
        <w:t>uplink transmissions</w:t>
      </w:r>
      <w:bookmarkEnd w:id="6"/>
    </w:p>
    <w:p w14:paraId="0B1D9E1A" w14:textId="11293B2F" w:rsidR="003B1204" w:rsidRPr="00111547" w:rsidRDefault="00111547" w:rsidP="00FF2D16">
      <w:pPr>
        <w:pStyle w:val="Proposal"/>
      </w:pPr>
      <w:bookmarkStart w:id="7" w:name="_Toc79090429"/>
      <w:r>
        <w:t>RAN2 to discuss representation of TEG in UL-SRS for positioning transmissions</w:t>
      </w:r>
      <w:bookmarkEnd w:id="7"/>
    </w:p>
    <w:p w14:paraId="579AB09B" w14:textId="32A2013B" w:rsidR="00FF2D16" w:rsidRPr="00753EB2" w:rsidRDefault="00753EB2" w:rsidP="00FF2D16">
      <w:pPr>
        <w:rPr>
          <w:sz w:val="22"/>
          <w:szCs w:val="22"/>
        </w:rPr>
      </w:pPr>
      <w:r>
        <w:rPr>
          <w:sz w:val="22"/>
          <w:szCs w:val="22"/>
        </w:rPr>
        <w:t xml:space="preserve">Due to these timing errors and the associated timing offsets between TEGs, the dimensionality of the positioning problem becomes larger, which means that the amount of independent information provided in </w:t>
      </w:r>
      <w:r w:rsidRPr="00753EB2">
        <w:rPr>
          <w:sz w:val="22"/>
          <w:szCs w:val="22"/>
        </w:rPr>
        <w:t xml:space="preserve">measurement reports needs to be larger as well. This can imply that </w:t>
      </w:r>
    </w:p>
    <w:p w14:paraId="5232221A" w14:textId="25DC6313" w:rsidR="00753EB2" w:rsidRPr="003B1204" w:rsidRDefault="00753EB2" w:rsidP="00753EB2">
      <w:pPr>
        <w:pStyle w:val="ListParagraph"/>
        <w:numPr>
          <w:ilvl w:val="0"/>
          <w:numId w:val="34"/>
        </w:numPr>
        <w:rPr>
          <w:rFonts w:ascii="Times New Roman" w:hAnsi="Times New Roman"/>
        </w:rPr>
      </w:pPr>
      <w:r w:rsidRPr="00753EB2">
        <w:rPr>
          <w:rFonts w:ascii="Times New Roman" w:hAnsi="Times New Roman"/>
          <w:lang w:val="en-US"/>
        </w:rPr>
        <w:t xml:space="preserve">A larger number of </w:t>
      </w:r>
      <w:r w:rsidR="003B1204">
        <w:rPr>
          <w:rFonts w:ascii="Times New Roman" w:hAnsi="Times New Roman"/>
          <w:lang w:val="en-US"/>
        </w:rPr>
        <w:t xml:space="preserve">DL-PRS </w:t>
      </w:r>
      <w:r w:rsidRPr="00753EB2">
        <w:rPr>
          <w:rFonts w:ascii="Times New Roman" w:hAnsi="Times New Roman"/>
          <w:lang w:val="en-US"/>
        </w:rPr>
        <w:t>additional measurements per TRP needs to be reported in total</w:t>
      </w:r>
    </w:p>
    <w:p w14:paraId="660B5AEB" w14:textId="6470BD6F" w:rsidR="003B1204" w:rsidRPr="00753EB2" w:rsidRDefault="003B1204" w:rsidP="00753EB2">
      <w:pPr>
        <w:pStyle w:val="ListParagraph"/>
        <w:numPr>
          <w:ilvl w:val="0"/>
          <w:numId w:val="34"/>
        </w:numPr>
        <w:rPr>
          <w:rFonts w:ascii="Times New Roman" w:hAnsi="Times New Roman"/>
        </w:rPr>
      </w:pPr>
      <w:r>
        <w:rPr>
          <w:rFonts w:ascii="Times New Roman" w:hAnsi="Times New Roman"/>
          <w:lang w:val="en-US"/>
        </w:rPr>
        <w:t>A larger number of transmitted UL SRS signals, each associated to different TX TEGs</w:t>
      </w:r>
    </w:p>
    <w:p w14:paraId="4C06C40E" w14:textId="4DF1716E" w:rsidR="00753EB2" w:rsidRPr="00753EB2" w:rsidRDefault="00753EB2" w:rsidP="00753EB2">
      <w:pPr>
        <w:pStyle w:val="ListParagraph"/>
        <w:numPr>
          <w:ilvl w:val="0"/>
          <w:numId w:val="34"/>
        </w:numPr>
        <w:rPr>
          <w:rFonts w:ascii="Times New Roman" w:hAnsi="Times New Roman"/>
        </w:rPr>
      </w:pPr>
      <w:r w:rsidRPr="00753EB2">
        <w:rPr>
          <w:rFonts w:ascii="Times New Roman" w:hAnsi="Times New Roman"/>
          <w:lang w:val="en-US"/>
        </w:rPr>
        <w:t>Measurements with different RX TEGs are provided for positioning resources of the same TX TEG</w:t>
      </w:r>
    </w:p>
    <w:p w14:paraId="429968CB" w14:textId="2C9117F1" w:rsidR="00753EB2" w:rsidRPr="00753EB2" w:rsidRDefault="00753EB2" w:rsidP="00753EB2">
      <w:pPr>
        <w:pStyle w:val="ListParagraph"/>
        <w:numPr>
          <w:ilvl w:val="0"/>
          <w:numId w:val="34"/>
        </w:numPr>
        <w:rPr>
          <w:rFonts w:ascii="Times New Roman" w:hAnsi="Times New Roman"/>
        </w:rPr>
      </w:pPr>
      <w:r w:rsidRPr="00753EB2">
        <w:rPr>
          <w:rFonts w:ascii="Times New Roman" w:hAnsi="Times New Roman"/>
          <w:lang w:val="en-US"/>
        </w:rPr>
        <w:t>Measurements with the same RX TEG are provided for positioning resources of different TX TEG</w:t>
      </w:r>
    </w:p>
    <w:p w14:paraId="55503F22" w14:textId="41B1D1E4" w:rsidR="00753EB2" w:rsidRPr="00753EB2" w:rsidRDefault="00753EB2" w:rsidP="00753EB2">
      <w:pPr>
        <w:pStyle w:val="ListParagraph"/>
        <w:numPr>
          <w:ilvl w:val="0"/>
          <w:numId w:val="34"/>
        </w:numPr>
        <w:rPr>
          <w:rFonts w:ascii="Times New Roman" w:hAnsi="Times New Roman"/>
        </w:rPr>
      </w:pPr>
      <w:r w:rsidRPr="00753EB2">
        <w:rPr>
          <w:rFonts w:ascii="Times New Roman" w:hAnsi="Times New Roman"/>
          <w:lang w:val="en-US"/>
        </w:rPr>
        <w:t>A larger number of additional paths per positioning resource are reported</w:t>
      </w:r>
    </w:p>
    <w:p w14:paraId="5DCDF197" w14:textId="000CD1CB" w:rsidR="00753EB2" w:rsidRDefault="00753EB2" w:rsidP="00753EB2"/>
    <w:p w14:paraId="06D91884" w14:textId="3407D7FE" w:rsidR="00753EB2" w:rsidRPr="00753EB2" w:rsidRDefault="00753EB2" w:rsidP="00753EB2">
      <w:pPr>
        <w:rPr>
          <w:sz w:val="22"/>
          <w:szCs w:val="22"/>
        </w:rPr>
      </w:pPr>
      <w:r w:rsidRPr="00753EB2">
        <w:rPr>
          <w:sz w:val="22"/>
          <w:szCs w:val="22"/>
        </w:rPr>
        <w:t>Therefore, the enhancements are not only about associating TEG to the existing timing measurement reporting but to enhance the positioning configuration and reporting scope further, as well as introducing related capabilities</w:t>
      </w:r>
    </w:p>
    <w:p w14:paraId="4D8F7C42" w14:textId="21A3DF2E" w:rsidR="003B1204" w:rsidRDefault="003B1204" w:rsidP="003B1204">
      <w:pPr>
        <w:pStyle w:val="Observation"/>
      </w:pPr>
      <w:bookmarkStart w:id="8" w:name="_Toc79090421"/>
      <w:r>
        <w:t>Only adding a TEG association to reported timing measurements is not sufficient. The dimensionality of the positioning problems becomes larger with timing errors between different transceiver entities.</w:t>
      </w:r>
      <w:bookmarkEnd w:id="8"/>
    </w:p>
    <w:p w14:paraId="149ED01D" w14:textId="2FE9212C" w:rsidR="003B1204" w:rsidRDefault="003B1204" w:rsidP="003B1204">
      <w:pPr>
        <w:pStyle w:val="Observation"/>
      </w:pPr>
      <w:bookmarkStart w:id="9" w:name="_Toc79090422"/>
      <w:r>
        <w:t>There is a need to consider a widened scope of positioning capabilities, configuration and measurements to ensure that timing errors can be mitigated</w:t>
      </w:r>
      <w:bookmarkEnd w:id="9"/>
    </w:p>
    <w:p w14:paraId="1DAA6622" w14:textId="69D00E02" w:rsidR="003B1204" w:rsidRDefault="003B1204" w:rsidP="003B1204">
      <w:pPr>
        <w:pStyle w:val="Observation"/>
      </w:pPr>
      <w:bookmarkStart w:id="10" w:name="_Toc79090423"/>
      <w:r>
        <w:t xml:space="preserve">The widened scope includes a larger number of additional measurements per TRP, </w:t>
      </w:r>
      <w:r w:rsidR="00111547">
        <w:t>a larger number of transmitted UL-SRS signals, measurements with different RX and TX TEG combinations and a larger number of additional paths per positioning resource.</w:t>
      </w:r>
      <w:bookmarkEnd w:id="10"/>
    </w:p>
    <w:p w14:paraId="2BF5F7ED" w14:textId="77777777" w:rsidR="00753EB2" w:rsidRPr="00753EB2" w:rsidRDefault="00753EB2" w:rsidP="00753EB2"/>
    <w:p w14:paraId="5DF605B7" w14:textId="77777777" w:rsidR="00753EB2" w:rsidRPr="00753EB2" w:rsidRDefault="00753EB2" w:rsidP="00FF2D16">
      <w:pPr>
        <w:rPr>
          <w:sz w:val="22"/>
          <w:szCs w:val="22"/>
          <w:lang w:val="x-none"/>
        </w:rPr>
      </w:pPr>
    </w:p>
    <w:p w14:paraId="301C1049" w14:textId="2C4E3165" w:rsidR="00111547" w:rsidRPr="00111547" w:rsidRDefault="00111547" w:rsidP="00111547">
      <w:pPr>
        <w:pStyle w:val="Proposal"/>
      </w:pPr>
      <w:bookmarkStart w:id="11" w:name="_Toc79090430"/>
      <w:r>
        <w:t xml:space="preserve">RAN2 to discuss enhancements to </w:t>
      </w:r>
      <w:proofErr w:type="gramStart"/>
      <w:r>
        <w:t>positioning</w:t>
      </w:r>
      <w:proofErr w:type="gramEnd"/>
      <w:r>
        <w:t xml:space="preserve"> capabilities, configuration and measurements to handle timing errors by enabling more positioning information to the positioning problem.</w:t>
      </w:r>
      <w:bookmarkEnd w:id="11"/>
    </w:p>
    <w:p w14:paraId="7AFBA089" w14:textId="77777777" w:rsidR="00BF0D4E" w:rsidRDefault="00BF0D4E" w:rsidP="00975BDA">
      <w:pPr>
        <w:pStyle w:val="Observation"/>
        <w:numPr>
          <w:ilvl w:val="0"/>
          <w:numId w:val="0"/>
        </w:numPr>
        <w:ind w:left="1701" w:hanging="1701"/>
      </w:pPr>
    </w:p>
    <w:p w14:paraId="21AB34C8" w14:textId="6A9C5F71" w:rsidR="00BF0D4E" w:rsidRDefault="00111547" w:rsidP="00111547">
      <w:pPr>
        <w:pStyle w:val="Heading2"/>
      </w:pPr>
      <w:r>
        <w:t>2.2</w:t>
      </w:r>
      <w:r>
        <w:tab/>
      </w:r>
      <w:r w:rsidRPr="00111547">
        <w:t>Enhancements to DL-AoD and UL-</w:t>
      </w:r>
      <w:proofErr w:type="spellStart"/>
      <w:r w:rsidRPr="00111547">
        <w:t>AoA</w:t>
      </w:r>
      <w:proofErr w:type="spellEnd"/>
    </w:p>
    <w:p w14:paraId="0C066764" w14:textId="368A00C7" w:rsidR="00111547" w:rsidRDefault="00111547" w:rsidP="00111547">
      <w:pPr>
        <w:rPr>
          <w:sz w:val="22"/>
          <w:szCs w:val="22"/>
        </w:rPr>
      </w:pPr>
      <w:r>
        <w:rPr>
          <w:sz w:val="22"/>
          <w:szCs w:val="22"/>
        </w:rPr>
        <w:t xml:space="preserve">The RAN1 LS </w:t>
      </w:r>
      <w:r w:rsidRPr="00111547">
        <w:rPr>
          <w:sz w:val="22"/>
          <w:szCs w:val="22"/>
        </w:rPr>
        <w:t>[</w:t>
      </w:r>
      <w:r w:rsidRPr="00111547">
        <w:rPr>
          <w:rFonts w:ascii="Arial" w:hAnsi="Arial" w:cs="Arial"/>
        </w:rPr>
        <w:t>R1-2104089 – needs RAN2 number</w:t>
      </w:r>
      <w:r w:rsidRPr="00111547">
        <w:rPr>
          <w:sz w:val="22"/>
          <w:szCs w:val="22"/>
        </w:rPr>
        <w:t>]</w:t>
      </w:r>
      <w:r>
        <w:rPr>
          <w:sz w:val="22"/>
          <w:szCs w:val="22"/>
        </w:rPr>
        <w:t xml:space="preserve"> provides information about the following RAN1 agreement:</w:t>
      </w:r>
    </w:p>
    <w:p w14:paraId="7E22C6D4" w14:textId="77777777" w:rsidR="00111547" w:rsidRDefault="00111547" w:rsidP="00111547">
      <w:pPr>
        <w:autoSpaceDE/>
        <w:adjustRightInd/>
        <w:spacing w:after="0"/>
        <w:rPr>
          <w:rFonts w:ascii="Times" w:eastAsia="Batang" w:hAnsi="Times"/>
          <w:szCs w:val="24"/>
          <w:lang w:eastAsia="x-none"/>
        </w:rPr>
      </w:pPr>
      <w:r>
        <w:rPr>
          <w:rFonts w:ascii="Times" w:eastAsia="Batang" w:hAnsi="Times"/>
          <w:szCs w:val="24"/>
          <w:highlight w:val="green"/>
          <w:lang w:eastAsia="x-none"/>
        </w:rPr>
        <w:t>Agreement:</w:t>
      </w:r>
    </w:p>
    <w:p w14:paraId="1732BC36" w14:textId="77777777" w:rsidR="00111547" w:rsidRDefault="00111547" w:rsidP="00111547">
      <w:pPr>
        <w:autoSpaceDE/>
        <w:adjustRightInd/>
        <w:spacing w:after="0"/>
        <w:rPr>
          <w:rFonts w:ascii="Times" w:eastAsia="Batang" w:hAnsi="Times"/>
          <w:szCs w:val="24"/>
          <w:lang w:val="en-US" w:eastAsia="x-none"/>
        </w:rPr>
      </w:pPr>
      <w:r>
        <w:rPr>
          <w:rFonts w:ascii="Times" w:eastAsia="Batang" w:hAnsi="Times"/>
          <w:szCs w:val="24"/>
          <w:lang w:eastAsia="x-none"/>
        </w:rPr>
        <w:t>Regarding support of angle calculation enhancement for DL-AoD:</w:t>
      </w:r>
    </w:p>
    <w:p w14:paraId="106B2D93" w14:textId="77777777" w:rsidR="00111547" w:rsidRDefault="00111547" w:rsidP="00111547">
      <w:pPr>
        <w:widowControl w:val="0"/>
        <w:numPr>
          <w:ilvl w:val="0"/>
          <w:numId w:val="35"/>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Support gNB providing the beam/antenna information to the LMF.</w:t>
      </w:r>
    </w:p>
    <w:p w14:paraId="7AC01E97" w14:textId="77777777" w:rsidR="00111547" w:rsidRDefault="00111547" w:rsidP="00111547">
      <w:pPr>
        <w:widowControl w:val="0"/>
        <w:numPr>
          <w:ilvl w:val="1"/>
          <w:numId w:val="35"/>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The gNB beam/antenna information can be provided to the UE for UE-based DL-AoD</w:t>
      </w:r>
    </w:p>
    <w:p w14:paraId="37627DEB" w14:textId="77777777" w:rsidR="00111547" w:rsidRDefault="00111547" w:rsidP="00111547">
      <w:pPr>
        <w:widowControl w:val="0"/>
        <w:numPr>
          <w:ilvl w:val="1"/>
          <w:numId w:val="35"/>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FFS: the details of contents of the beam/antenna information</w:t>
      </w:r>
    </w:p>
    <w:p w14:paraId="58856BF9" w14:textId="77777777" w:rsidR="00111547" w:rsidRDefault="00111547" w:rsidP="00111547">
      <w:pPr>
        <w:widowControl w:val="0"/>
        <w:numPr>
          <w:ilvl w:val="1"/>
          <w:numId w:val="35"/>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FFS: the details of how to provide the beam/antenna information.</w:t>
      </w:r>
    </w:p>
    <w:p w14:paraId="118C13DD" w14:textId="77777777" w:rsidR="00111547" w:rsidRDefault="00111547" w:rsidP="00111547">
      <w:pPr>
        <w:widowControl w:val="0"/>
        <w:numPr>
          <w:ilvl w:val="1"/>
          <w:numId w:val="35"/>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Note: The antenna information is related to reducing the overhead of beam information</w:t>
      </w:r>
    </w:p>
    <w:p w14:paraId="45E2C80C" w14:textId="77777777" w:rsidR="00111547" w:rsidRDefault="00111547" w:rsidP="00111547">
      <w:pPr>
        <w:widowControl w:val="0"/>
        <w:numPr>
          <w:ilvl w:val="0"/>
          <w:numId w:val="35"/>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 xml:space="preserve">Send </w:t>
      </w:r>
      <w:proofErr w:type="gramStart"/>
      <w:r>
        <w:rPr>
          <w:rFonts w:ascii="Times" w:eastAsia="Batang" w:hAnsi="Times"/>
          <w:szCs w:val="24"/>
          <w:lang w:eastAsia="x-none"/>
        </w:rPr>
        <w:t>an</w:t>
      </w:r>
      <w:proofErr w:type="gramEnd"/>
      <w:r>
        <w:rPr>
          <w:rFonts w:ascii="Times" w:eastAsia="Batang" w:hAnsi="Times"/>
          <w:szCs w:val="24"/>
          <w:lang w:eastAsia="x-none"/>
        </w:rPr>
        <w:t xml:space="preserve"> LS to RAN2/RAN3 regarding the option of angle report from gNB to LMF for UE-A DL-AoD requesting them to consider this option in Rel-17.</w:t>
      </w:r>
    </w:p>
    <w:p w14:paraId="408ED87E" w14:textId="77777777" w:rsidR="00111547" w:rsidRDefault="00111547" w:rsidP="00111547">
      <w:pPr>
        <w:rPr>
          <w:sz w:val="22"/>
          <w:szCs w:val="22"/>
        </w:rPr>
      </w:pPr>
    </w:p>
    <w:p w14:paraId="34EE7415" w14:textId="74ADB5FD" w:rsidR="007239FC" w:rsidRDefault="00111547" w:rsidP="00111547">
      <w:pPr>
        <w:rPr>
          <w:sz w:val="22"/>
          <w:szCs w:val="22"/>
        </w:rPr>
      </w:pPr>
      <w:r>
        <w:rPr>
          <w:sz w:val="22"/>
          <w:szCs w:val="22"/>
        </w:rPr>
        <w:t xml:space="preserve">The LS is about supporting beam antenna information from gNB to LMF to support both UE-based and UE-assisted DL-AoD. Beam, antenna information for DL-AoD was added for UE-based already in </w:t>
      </w:r>
      <w:proofErr w:type="spellStart"/>
      <w:r>
        <w:rPr>
          <w:sz w:val="22"/>
          <w:szCs w:val="22"/>
        </w:rPr>
        <w:t>Rel</w:t>
      </w:r>
      <w:proofErr w:type="spellEnd"/>
      <w:r>
        <w:rPr>
          <w:sz w:val="22"/>
          <w:szCs w:val="22"/>
        </w:rPr>
        <w:t xml:space="preserve"> 16, and </w:t>
      </w:r>
      <w:r w:rsidR="007239FC">
        <w:rPr>
          <w:sz w:val="22"/>
          <w:szCs w:val="22"/>
        </w:rPr>
        <w:t>the use of beam antenna information for DL-AoD in LMF does not have protocol impacts. Therefore, this LS does not have any RAN2 impact, but RAN2 can monitor related RAN3 work.</w:t>
      </w:r>
    </w:p>
    <w:p w14:paraId="2D09EF05" w14:textId="7D514291" w:rsidR="007239FC" w:rsidRPr="007239FC" w:rsidRDefault="007239FC" w:rsidP="007239FC">
      <w:pPr>
        <w:pStyle w:val="Observation"/>
      </w:pPr>
      <w:bookmarkStart w:id="12" w:name="_Toc79090424"/>
      <w:r>
        <w:t>There is no RAN2 impacts from the RAN1 LS on beam antenna information</w:t>
      </w:r>
      <w:bookmarkEnd w:id="12"/>
    </w:p>
    <w:p w14:paraId="71235CD8" w14:textId="0A37EA2D" w:rsidR="007239FC" w:rsidRPr="00111547" w:rsidRDefault="007239FC" w:rsidP="007239FC">
      <w:pPr>
        <w:pStyle w:val="Proposal"/>
      </w:pPr>
      <w:bookmarkStart w:id="13" w:name="_Toc79090431"/>
      <w:r>
        <w:t>Note the RAN1 LS and monitor related RAN3 work</w:t>
      </w:r>
      <w:bookmarkEnd w:id="13"/>
      <w:r>
        <w:t xml:space="preserve"> </w:t>
      </w:r>
    </w:p>
    <w:p w14:paraId="35CEA584" w14:textId="1E1F6D15" w:rsidR="007239FC" w:rsidRDefault="007239FC" w:rsidP="00111547">
      <w:pPr>
        <w:rPr>
          <w:sz w:val="22"/>
          <w:szCs w:val="22"/>
        </w:rPr>
      </w:pPr>
    </w:p>
    <w:p w14:paraId="34155B31" w14:textId="294BE3FB" w:rsidR="007239FC" w:rsidRDefault="007239FC" w:rsidP="00111547">
      <w:pPr>
        <w:rPr>
          <w:sz w:val="22"/>
          <w:szCs w:val="22"/>
        </w:rPr>
      </w:pPr>
      <w:r>
        <w:rPr>
          <w:sz w:val="22"/>
          <w:szCs w:val="22"/>
        </w:rPr>
        <w:t xml:space="preserve">With the ability by UEs and gNBs to estimate fine angular information per path, the value of additional path reporting goes beyond increasing the probability of including the </w:t>
      </w:r>
      <w:proofErr w:type="spellStart"/>
      <w:r>
        <w:rPr>
          <w:sz w:val="22"/>
          <w:szCs w:val="22"/>
        </w:rPr>
        <w:t>LoS</w:t>
      </w:r>
      <w:proofErr w:type="spellEnd"/>
      <w:r>
        <w:rPr>
          <w:sz w:val="22"/>
          <w:szCs w:val="22"/>
        </w:rPr>
        <w:t xml:space="preserve"> path in the measurement report, which was the main argumentation behind the introduction of additional path reporting in LTE and the NR baseline in </w:t>
      </w:r>
      <w:proofErr w:type="spellStart"/>
      <w:r>
        <w:rPr>
          <w:sz w:val="22"/>
          <w:szCs w:val="22"/>
        </w:rPr>
        <w:t>Rel</w:t>
      </w:r>
      <w:proofErr w:type="spellEnd"/>
      <w:r>
        <w:rPr>
          <w:sz w:val="22"/>
          <w:szCs w:val="22"/>
        </w:rPr>
        <w:t xml:space="preserve"> 16.</w:t>
      </w:r>
    </w:p>
    <w:p w14:paraId="52BFBF37" w14:textId="3615CEC5" w:rsidR="007239FC" w:rsidRPr="007239FC" w:rsidRDefault="007239FC" w:rsidP="007239FC">
      <w:pPr>
        <w:pStyle w:val="Observation"/>
      </w:pPr>
      <w:bookmarkStart w:id="14" w:name="_Toc79090425"/>
      <w:r>
        <w:t xml:space="preserve">With reporting of angular information per path, the value of additional paths goes beyond increasing the probability of including the </w:t>
      </w:r>
      <w:proofErr w:type="spellStart"/>
      <w:r>
        <w:t>LoS</w:t>
      </w:r>
      <w:proofErr w:type="spellEnd"/>
      <w:r>
        <w:t xml:space="preserve"> path. A larger number of additional paths per reported positioning resource</w:t>
      </w:r>
      <w:r w:rsidR="001B1FC4">
        <w:t xml:space="preserve"> is therefore natural.</w:t>
      </w:r>
      <w:bookmarkEnd w:id="14"/>
      <w:r>
        <w:t xml:space="preserve"> </w:t>
      </w:r>
    </w:p>
    <w:p w14:paraId="019F78B2" w14:textId="1CB90F48" w:rsidR="001B1FC4" w:rsidRDefault="001B1FC4" w:rsidP="007239FC">
      <w:pPr>
        <w:pStyle w:val="Proposal"/>
      </w:pPr>
      <w:bookmarkStart w:id="15" w:name="_Toc79090432"/>
      <w:r>
        <w:t>RAN2 to discuss representation of angular information per path as well as the supported number of additional paths</w:t>
      </w:r>
      <w:bookmarkEnd w:id="15"/>
      <w:r>
        <w:t xml:space="preserve"> </w:t>
      </w:r>
    </w:p>
    <w:p w14:paraId="36A882F7" w14:textId="2E0F6966" w:rsidR="007239FC" w:rsidRDefault="007239FC" w:rsidP="00111547">
      <w:pPr>
        <w:rPr>
          <w:sz w:val="22"/>
          <w:szCs w:val="22"/>
        </w:rPr>
      </w:pPr>
    </w:p>
    <w:p w14:paraId="1299E762" w14:textId="7FA476BB" w:rsidR="001B1FC4" w:rsidRPr="00111547" w:rsidRDefault="001B1FC4" w:rsidP="001B1FC4">
      <w:pPr>
        <w:pStyle w:val="Heading2"/>
      </w:pPr>
      <w:r>
        <w:t>2.3</w:t>
      </w:r>
      <w:r>
        <w:tab/>
        <w:t>F</w:t>
      </w:r>
      <w:r w:rsidRPr="001B1FC4">
        <w:t>urther multipath/NLOS management</w:t>
      </w:r>
    </w:p>
    <w:p w14:paraId="649CE18D" w14:textId="04DD04D7" w:rsidR="004F5ADC" w:rsidRPr="001B1FC4" w:rsidRDefault="001B1FC4" w:rsidP="001B1FC4">
      <w:pPr>
        <w:rPr>
          <w:sz w:val="22"/>
          <w:szCs w:val="22"/>
        </w:rPr>
      </w:pPr>
      <w:r w:rsidRPr="001B1FC4">
        <w:rPr>
          <w:sz w:val="22"/>
          <w:szCs w:val="22"/>
        </w:rPr>
        <w:t>With a wider bandwidth of positioning reference signals compared to LTE</w:t>
      </w:r>
      <w:r>
        <w:rPr>
          <w:sz w:val="22"/>
          <w:szCs w:val="22"/>
        </w:rPr>
        <w:t xml:space="preserve"> (20 MHz BW)</w:t>
      </w:r>
      <w:r w:rsidRPr="001B1FC4">
        <w:rPr>
          <w:sz w:val="22"/>
          <w:szCs w:val="22"/>
        </w:rPr>
        <w:t xml:space="preserve">, the impulse response resolution becomes </w:t>
      </w:r>
      <w:r>
        <w:rPr>
          <w:sz w:val="22"/>
          <w:szCs w:val="22"/>
        </w:rPr>
        <w:t xml:space="preserve">significantly finer in FR1 (up to 100MHz BW) and even more so in FR2 (up to 400 MHz BW). The time resolution is proportional to the inverse of the signal bandwidth implying that paths with similar path delays can be separated to a greater extent. </w:t>
      </w:r>
    </w:p>
    <w:p w14:paraId="1F3FD132" w14:textId="146AAD5B" w:rsidR="001B1FC4" w:rsidRDefault="001B1FC4" w:rsidP="001B1FC4">
      <w:pPr>
        <w:pStyle w:val="Observation"/>
      </w:pPr>
      <w:bookmarkStart w:id="16" w:name="_Toc79090426"/>
      <w:r>
        <w:t>The wide signal bandwidths of NR correspond to fine time resolution and also an ability to separate a significantly larger number of paths compared to more narrow band systems in relative terms</w:t>
      </w:r>
      <w:bookmarkEnd w:id="16"/>
    </w:p>
    <w:p w14:paraId="463FB0B3" w14:textId="77777777" w:rsidR="001B1FC4" w:rsidRDefault="001B1FC4" w:rsidP="001B1FC4">
      <w:pPr>
        <w:pStyle w:val="Observation"/>
        <w:numPr>
          <w:ilvl w:val="0"/>
          <w:numId w:val="0"/>
        </w:numPr>
        <w:ind w:left="1701" w:hanging="1701"/>
        <w:rPr>
          <w:rFonts w:ascii="Times New Roman" w:hAnsi="Times New Roman"/>
          <w:b w:val="0"/>
          <w:bCs w:val="0"/>
          <w:sz w:val="22"/>
          <w:szCs w:val="22"/>
        </w:rPr>
      </w:pPr>
    </w:p>
    <w:p w14:paraId="5E23F1E4" w14:textId="6CD9108B" w:rsidR="00977445" w:rsidRDefault="00977445" w:rsidP="00977445">
      <w:pPr>
        <w:rPr>
          <w:sz w:val="22"/>
          <w:szCs w:val="22"/>
        </w:rPr>
      </w:pPr>
      <w:r w:rsidRPr="00977445">
        <w:rPr>
          <w:sz w:val="22"/>
          <w:szCs w:val="22"/>
        </w:rPr>
        <w:lastRenderedPageBreak/>
        <w:t xml:space="preserve">Timing measurements associated to the separated multiple paths can benefit positioning if the individual paths </w:t>
      </w:r>
      <w:r>
        <w:rPr>
          <w:sz w:val="22"/>
          <w:szCs w:val="22"/>
        </w:rPr>
        <w:t>can be associated to reflectors in the environment as discussed in [5]. In this case, the multipath/NLOS is not a mitigation problem, but exploiting rich multipath information is an enabler positioning with limited number of transmitters.</w:t>
      </w:r>
    </w:p>
    <w:p w14:paraId="3274C509" w14:textId="773432A1" w:rsidR="00977445" w:rsidRPr="00977445" w:rsidRDefault="00977445" w:rsidP="00977445">
      <w:pPr>
        <w:rPr>
          <w:sz w:val="22"/>
          <w:szCs w:val="22"/>
        </w:rPr>
      </w:pPr>
      <w:r>
        <w:rPr>
          <w:sz w:val="22"/>
          <w:szCs w:val="22"/>
        </w:rPr>
        <w:t>In addition to the number of provided paths per positioning resource, rich information per path is also enabling the LCS client to assess and compare information associated to different paths, such as the path power, path angle etc [6].</w:t>
      </w:r>
    </w:p>
    <w:p w14:paraId="0F6FFAC6" w14:textId="77777777" w:rsidR="001B1FC4" w:rsidRDefault="001B1FC4" w:rsidP="001B1FC4">
      <w:pPr>
        <w:pStyle w:val="Observation"/>
        <w:numPr>
          <w:ilvl w:val="0"/>
          <w:numId w:val="0"/>
        </w:numPr>
      </w:pPr>
    </w:p>
    <w:p w14:paraId="5595D58B" w14:textId="694ECBDF" w:rsidR="00975BDA" w:rsidRDefault="00977445" w:rsidP="00975BDA">
      <w:pPr>
        <w:pStyle w:val="Observation"/>
      </w:pPr>
      <w:bookmarkStart w:id="17" w:name="_Toc79090427"/>
      <w:r>
        <w:t xml:space="preserve">Rich information per path such as path power, path angle </w:t>
      </w:r>
      <w:proofErr w:type="spellStart"/>
      <w:r>
        <w:t>etcfurther</w:t>
      </w:r>
      <w:proofErr w:type="spellEnd"/>
      <w:r>
        <w:t xml:space="preserve"> enhances positioning performance</w:t>
      </w:r>
      <w:bookmarkEnd w:id="17"/>
      <w:r>
        <w:t xml:space="preserve">  </w:t>
      </w:r>
    </w:p>
    <w:p w14:paraId="33093CAA" w14:textId="77777777" w:rsidR="00975BDA" w:rsidRPr="00CE0424" w:rsidRDefault="00975BDA" w:rsidP="00975BDA">
      <w:pPr>
        <w:pStyle w:val="Observation"/>
        <w:numPr>
          <w:ilvl w:val="0"/>
          <w:numId w:val="0"/>
        </w:numPr>
        <w:ind w:left="1701"/>
      </w:pPr>
    </w:p>
    <w:p w14:paraId="046911F7" w14:textId="2CC7C62F" w:rsidR="00975BDA" w:rsidRDefault="00977445" w:rsidP="00975BDA">
      <w:pPr>
        <w:pStyle w:val="Proposal"/>
      </w:pPr>
      <w:bookmarkStart w:id="18" w:name="_Toc79090433"/>
      <w:r>
        <w:t>RAN2 to discuss representation of further additional paths as well as richer information per path</w:t>
      </w:r>
      <w:bookmarkEnd w:id="18"/>
    </w:p>
    <w:p w14:paraId="1C7D7FFE" w14:textId="77777777" w:rsidR="00975BDA" w:rsidRPr="00CE0424" w:rsidRDefault="00975BDA" w:rsidP="00975BDA">
      <w:pPr>
        <w:pStyle w:val="Heading1"/>
      </w:pPr>
      <w:r w:rsidRPr="00CE0424">
        <w:t>Conclusion</w:t>
      </w:r>
    </w:p>
    <w:p w14:paraId="15A406D2" w14:textId="77777777" w:rsidR="00975BDA" w:rsidRDefault="00975BDA" w:rsidP="00975BDA">
      <w:pPr>
        <w:pStyle w:val="BodyText"/>
        <w:rPr>
          <w:b/>
          <w:bCs/>
        </w:rPr>
      </w:pPr>
      <w:r>
        <w:t>In the previous sections</w:t>
      </w:r>
      <w:r w:rsidRPr="00CE0424">
        <w:t xml:space="preserve"> we </w:t>
      </w:r>
      <w:r>
        <w:t>made the following observations</w:t>
      </w:r>
      <w:r w:rsidRPr="00CE0424">
        <w:t>:</w:t>
      </w:r>
      <w:r>
        <w:rPr>
          <w:b/>
          <w:bCs/>
        </w:rPr>
        <w:t xml:space="preserve"> </w:t>
      </w:r>
    </w:p>
    <w:p w14:paraId="5D01B5BD" w14:textId="77777777" w:rsidR="005F5231" w:rsidRDefault="00975BD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90418" w:history="1">
        <w:r w:rsidR="005F5231" w:rsidRPr="00E44779">
          <w:rPr>
            <w:rStyle w:val="Hyperlink"/>
            <w:noProof/>
          </w:rPr>
          <w:t>Observation 1</w:t>
        </w:r>
        <w:r w:rsidR="005F5231">
          <w:rPr>
            <w:rFonts w:asciiTheme="minorHAnsi" w:eastAsiaTheme="minorEastAsia" w:hAnsiTheme="minorHAnsi" w:cstheme="minorBidi"/>
            <w:b w:val="0"/>
            <w:noProof/>
            <w:sz w:val="22"/>
            <w:szCs w:val="22"/>
            <w:lang w:val="sv-SE" w:eastAsia="sv-SE"/>
          </w:rPr>
          <w:tab/>
        </w:r>
        <w:r w:rsidR="005F5231" w:rsidRPr="00E44779">
          <w:rPr>
            <w:rStyle w:val="Hyperlink"/>
            <w:noProof/>
          </w:rPr>
          <w:t>Given that different entities in a transceiver can be associated to different timings (belong to different timing error groups), it is important to provide TEG information with reported timing measurements</w:t>
        </w:r>
      </w:hyperlink>
    </w:p>
    <w:p w14:paraId="25A5F645"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19" w:history="1">
        <w:r w:rsidRPr="00E44779">
          <w:rPr>
            <w:rStyle w:val="Hyperlink"/>
            <w:noProof/>
          </w:rPr>
          <w:t>Observation 2</w:t>
        </w:r>
        <w:r>
          <w:rPr>
            <w:rFonts w:asciiTheme="minorHAnsi" w:eastAsiaTheme="minorEastAsia" w:hAnsiTheme="minorHAnsi" w:cstheme="minorBidi"/>
            <w:b w:val="0"/>
            <w:noProof/>
            <w:sz w:val="22"/>
            <w:szCs w:val="22"/>
            <w:lang w:val="sv-SE" w:eastAsia="sv-SE"/>
          </w:rPr>
          <w:tab/>
        </w:r>
        <w:r w:rsidRPr="00E44779">
          <w:rPr>
            <w:rStyle w:val="Hyperlink"/>
            <w:noProof/>
          </w:rPr>
          <w:t>Timing measurements that are reported relative a reference timing measurement are only required to be reported with TEG if it is different from the TEG of the reference timing measurement</w:t>
        </w:r>
      </w:hyperlink>
    </w:p>
    <w:p w14:paraId="6AE56A0A"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0" w:history="1">
        <w:r w:rsidRPr="00E44779">
          <w:rPr>
            <w:rStyle w:val="Hyperlink"/>
            <w:noProof/>
          </w:rPr>
          <w:t>Observation 3</w:t>
        </w:r>
        <w:r>
          <w:rPr>
            <w:rFonts w:asciiTheme="minorHAnsi" w:eastAsiaTheme="minorEastAsia" w:hAnsiTheme="minorHAnsi" w:cstheme="minorBidi"/>
            <w:b w:val="0"/>
            <w:noProof/>
            <w:sz w:val="22"/>
            <w:szCs w:val="22"/>
            <w:lang w:val="sv-SE" w:eastAsia="sv-SE"/>
          </w:rPr>
          <w:tab/>
        </w:r>
        <w:r w:rsidRPr="00E44779">
          <w:rPr>
            <w:rStyle w:val="Hyperlink"/>
            <w:noProof/>
          </w:rPr>
          <w:t>Given that different entities in a transceiver can be associated to different timings (belong to different timing error groups), it is important to associate TEG information with uplink transmissions</w:t>
        </w:r>
      </w:hyperlink>
    </w:p>
    <w:p w14:paraId="7E21EB94"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1" w:history="1">
        <w:r w:rsidRPr="00E44779">
          <w:rPr>
            <w:rStyle w:val="Hyperlink"/>
            <w:noProof/>
          </w:rPr>
          <w:t>Observation 4</w:t>
        </w:r>
        <w:r>
          <w:rPr>
            <w:rFonts w:asciiTheme="minorHAnsi" w:eastAsiaTheme="minorEastAsia" w:hAnsiTheme="minorHAnsi" w:cstheme="minorBidi"/>
            <w:b w:val="0"/>
            <w:noProof/>
            <w:sz w:val="22"/>
            <w:szCs w:val="22"/>
            <w:lang w:val="sv-SE" w:eastAsia="sv-SE"/>
          </w:rPr>
          <w:tab/>
        </w:r>
        <w:r w:rsidRPr="00E44779">
          <w:rPr>
            <w:rStyle w:val="Hyperlink"/>
            <w:noProof/>
          </w:rPr>
          <w:t>Only adding a TEG association to reported timing measurements is not sufficient. The dimensionality of the positioning problems becomes larger with timing errors between different transceiver entities.</w:t>
        </w:r>
      </w:hyperlink>
    </w:p>
    <w:p w14:paraId="765786F8"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2" w:history="1">
        <w:r w:rsidRPr="00E44779">
          <w:rPr>
            <w:rStyle w:val="Hyperlink"/>
            <w:noProof/>
          </w:rPr>
          <w:t>Observation 5</w:t>
        </w:r>
        <w:r>
          <w:rPr>
            <w:rFonts w:asciiTheme="minorHAnsi" w:eastAsiaTheme="minorEastAsia" w:hAnsiTheme="minorHAnsi" w:cstheme="minorBidi"/>
            <w:b w:val="0"/>
            <w:noProof/>
            <w:sz w:val="22"/>
            <w:szCs w:val="22"/>
            <w:lang w:val="sv-SE" w:eastAsia="sv-SE"/>
          </w:rPr>
          <w:tab/>
        </w:r>
        <w:r w:rsidRPr="00E44779">
          <w:rPr>
            <w:rStyle w:val="Hyperlink"/>
            <w:noProof/>
          </w:rPr>
          <w:t>There is a need to consider a widened scope of positioning capabilities, configuration and measurements to ensure that timing errors can be mitigated</w:t>
        </w:r>
      </w:hyperlink>
    </w:p>
    <w:p w14:paraId="16E1E230"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3" w:history="1">
        <w:r w:rsidRPr="00E44779">
          <w:rPr>
            <w:rStyle w:val="Hyperlink"/>
            <w:noProof/>
          </w:rPr>
          <w:t>Observation 6</w:t>
        </w:r>
        <w:r>
          <w:rPr>
            <w:rFonts w:asciiTheme="minorHAnsi" w:eastAsiaTheme="minorEastAsia" w:hAnsiTheme="minorHAnsi" w:cstheme="minorBidi"/>
            <w:b w:val="0"/>
            <w:noProof/>
            <w:sz w:val="22"/>
            <w:szCs w:val="22"/>
            <w:lang w:val="sv-SE" w:eastAsia="sv-SE"/>
          </w:rPr>
          <w:tab/>
        </w:r>
        <w:r w:rsidRPr="00E44779">
          <w:rPr>
            <w:rStyle w:val="Hyperlink"/>
            <w:noProof/>
          </w:rPr>
          <w:t>The widened scope includes a larger number of additional measurements per TRP, a larger number of transmitted UL-SRS signals, measurements with different RX and TX TEG combinations and a larger number of additional paths per positioning resource.</w:t>
        </w:r>
      </w:hyperlink>
    </w:p>
    <w:p w14:paraId="72AF1C48"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4" w:history="1">
        <w:r w:rsidRPr="00E44779">
          <w:rPr>
            <w:rStyle w:val="Hyperlink"/>
            <w:noProof/>
          </w:rPr>
          <w:t>Observation 7</w:t>
        </w:r>
        <w:r>
          <w:rPr>
            <w:rFonts w:asciiTheme="minorHAnsi" w:eastAsiaTheme="minorEastAsia" w:hAnsiTheme="minorHAnsi" w:cstheme="minorBidi"/>
            <w:b w:val="0"/>
            <w:noProof/>
            <w:sz w:val="22"/>
            <w:szCs w:val="22"/>
            <w:lang w:val="sv-SE" w:eastAsia="sv-SE"/>
          </w:rPr>
          <w:tab/>
        </w:r>
        <w:r w:rsidRPr="00E44779">
          <w:rPr>
            <w:rStyle w:val="Hyperlink"/>
            <w:noProof/>
          </w:rPr>
          <w:t>There is no RAN2 impacts from the RAN1 LS on beam antenna information</w:t>
        </w:r>
      </w:hyperlink>
    </w:p>
    <w:p w14:paraId="42DCF5FC"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5" w:history="1">
        <w:r w:rsidRPr="00E44779">
          <w:rPr>
            <w:rStyle w:val="Hyperlink"/>
            <w:noProof/>
          </w:rPr>
          <w:t>Observation 8</w:t>
        </w:r>
        <w:r>
          <w:rPr>
            <w:rFonts w:asciiTheme="minorHAnsi" w:eastAsiaTheme="minorEastAsia" w:hAnsiTheme="minorHAnsi" w:cstheme="minorBidi"/>
            <w:b w:val="0"/>
            <w:noProof/>
            <w:sz w:val="22"/>
            <w:szCs w:val="22"/>
            <w:lang w:val="sv-SE" w:eastAsia="sv-SE"/>
          </w:rPr>
          <w:tab/>
        </w:r>
        <w:r w:rsidRPr="00E44779">
          <w:rPr>
            <w:rStyle w:val="Hyperlink"/>
            <w:noProof/>
          </w:rPr>
          <w:t>With reporting of angular information per path, the value of additional paths goes beyond increasing the probability of including the LoS path. A larger number of additional paths per reported positioning resource is therefore natural.</w:t>
        </w:r>
      </w:hyperlink>
    </w:p>
    <w:p w14:paraId="31D599E4"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6" w:history="1">
        <w:r w:rsidRPr="00E44779">
          <w:rPr>
            <w:rStyle w:val="Hyperlink"/>
            <w:noProof/>
          </w:rPr>
          <w:t>Observation 9</w:t>
        </w:r>
        <w:r>
          <w:rPr>
            <w:rFonts w:asciiTheme="minorHAnsi" w:eastAsiaTheme="minorEastAsia" w:hAnsiTheme="minorHAnsi" w:cstheme="minorBidi"/>
            <w:b w:val="0"/>
            <w:noProof/>
            <w:sz w:val="22"/>
            <w:szCs w:val="22"/>
            <w:lang w:val="sv-SE" w:eastAsia="sv-SE"/>
          </w:rPr>
          <w:tab/>
        </w:r>
        <w:r w:rsidRPr="00E44779">
          <w:rPr>
            <w:rStyle w:val="Hyperlink"/>
            <w:noProof/>
          </w:rPr>
          <w:t>The wide signal bandwidths of NR correspond to fine time resolution and also an ability to separate a significantly larger number of paths compared to more narrow band systems in relative terms</w:t>
        </w:r>
      </w:hyperlink>
    </w:p>
    <w:p w14:paraId="6A7D9565"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7" w:history="1">
        <w:r w:rsidRPr="00E44779">
          <w:rPr>
            <w:rStyle w:val="Hyperlink"/>
            <w:noProof/>
          </w:rPr>
          <w:t>Observation 10</w:t>
        </w:r>
        <w:r>
          <w:rPr>
            <w:rFonts w:asciiTheme="minorHAnsi" w:eastAsiaTheme="minorEastAsia" w:hAnsiTheme="minorHAnsi" w:cstheme="minorBidi"/>
            <w:b w:val="0"/>
            <w:noProof/>
            <w:sz w:val="22"/>
            <w:szCs w:val="22"/>
            <w:lang w:val="sv-SE" w:eastAsia="sv-SE"/>
          </w:rPr>
          <w:tab/>
        </w:r>
        <w:r w:rsidRPr="00E44779">
          <w:rPr>
            <w:rStyle w:val="Hyperlink"/>
            <w:noProof/>
          </w:rPr>
          <w:t>Rich information per path such as path power, path angle etcfurther enhances positioning performance</w:t>
        </w:r>
      </w:hyperlink>
    </w:p>
    <w:p w14:paraId="09E30362" w14:textId="6358B417" w:rsidR="00975BDA" w:rsidRDefault="00975BDA" w:rsidP="00975BDA">
      <w:pPr>
        <w:pStyle w:val="BodyText"/>
        <w:rPr>
          <w:b/>
          <w:bCs/>
        </w:rPr>
      </w:pPr>
      <w:r>
        <w:rPr>
          <w:b/>
          <w:bCs/>
        </w:rPr>
        <w:fldChar w:fldCharType="end"/>
      </w:r>
    </w:p>
    <w:p w14:paraId="650570B6" w14:textId="77777777" w:rsidR="00975BDA" w:rsidRDefault="00975BDA" w:rsidP="00975BDA">
      <w:pPr>
        <w:pStyle w:val="BodyText"/>
        <w:rPr>
          <w:b/>
          <w:bCs/>
        </w:rPr>
      </w:pPr>
    </w:p>
    <w:p w14:paraId="1CC1EA19" w14:textId="77777777" w:rsidR="00975BDA" w:rsidRDefault="00975BDA" w:rsidP="00975BDA">
      <w:pPr>
        <w:pStyle w:val="BodyText"/>
      </w:pPr>
      <w:r w:rsidRPr="00CE0424">
        <w:t xml:space="preserve">Based on the discussion in </w:t>
      </w:r>
      <w:r>
        <w:t xml:space="preserve">the previous </w:t>
      </w:r>
      <w:r w:rsidRPr="00CE0424">
        <w:t>section</w:t>
      </w:r>
      <w:r>
        <w:t>s</w:t>
      </w:r>
      <w:r w:rsidRPr="00CE0424">
        <w:t xml:space="preserve"> we propose the following:</w:t>
      </w:r>
    </w:p>
    <w:p w14:paraId="7B41443E" w14:textId="77777777" w:rsidR="005F5231" w:rsidRDefault="00975BD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0428" w:history="1">
        <w:r w:rsidR="005F5231" w:rsidRPr="00A132C2">
          <w:rPr>
            <w:rStyle w:val="Hyperlink"/>
            <w:noProof/>
          </w:rPr>
          <w:t>Proposal 1</w:t>
        </w:r>
        <w:r w:rsidR="005F5231">
          <w:rPr>
            <w:rFonts w:asciiTheme="minorHAnsi" w:eastAsiaTheme="minorEastAsia" w:hAnsiTheme="minorHAnsi" w:cstheme="minorBidi"/>
            <w:b w:val="0"/>
            <w:noProof/>
            <w:sz w:val="22"/>
            <w:szCs w:val="22"/>
            <w:lang w:val="sv-SE" w:eastAsia="sv-SE"/>
          </w:rPr>
          <w:tab/>
        </w:r>
        <w:r w:rsidR="005F5231" w:rsidRPr="00A132C2">
          <w:rPr>
            <w:rStyle w:val="Hyperlink"/>
            <w:noProof/>
          </w:rPr>
          <w:t>RAN2 to discuss representation of TEG in timing measurement reporting</w:t>
        </w:r>
      </w:hyperlink>
    </w:p>
    <w:p w14:paraId="11E407A5"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29" w:history="1">
        <w:r w:rsidRPr="00A132C2">
          <w:rPr>
            <w:rStyle w:val="Hyperlink"/>
            <w:noProof/>
          </w:rPr>
          <w:t>Proposal 2</w:t>
        </w:r>
        <w:r>
          <w:rPr>
            <w:rFonts w:asciiTheme="minorHAnsi" w:eastAsiaTheme="minorEastAsia" w:hAnsiTheme="minorHAnsi" w:cstheme="minorBidi"/>
            <w:b w:val="0"/>
            <w:noProof/>
            <w:sz w:val="22"/>
            <w:szCs w:val="22"/>
            <w:lang w:val="sv-SE" w:eastAsia="sv-SE"/>
          </w:rPr>
          <w:tab/>
        </w:r>
        <w:r w:rsidRPr="00A132C2">
          <w:rPr>
            <w:rStyle w:val="Hyperlink"/>
            <w:noProof/>
          </w:rPr>
          <w:t>RAN2 to discuss representation of TEG in UL-SRS for positioning transmissions</w:t>
        </w:r>
      </w:hyperlink>
    </w:p>
    <w:p w14:paraId="74060800"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30" w:history="1">
        <w:r w:rsidRPr="00A132C2">
          <w:rPr>
            <w:rStyle w:val="Hyperlink"/>
            <w:noProof/>
          </w:rPr>
          <w:t>Proposal 3</w:t>
        </w:r>
        <w:r>
          <w:rPr>
            <w:rFonts w:asciiTheme="minorHAnsi" w:eastAsiaTheme="minorEastAsia" w:hAnsiTheme="minorHAnsi" w:cstheme="minorBidi"/>
            <w:b w:val="0"/>
            <w:noProof/>
            <w:sz w:val="22"/>
            <w:szCs w:val="22"/>
            <w:lang w:val="sv-SE" w:eastAsia="sv-SE"/>
          </w:rPr>
          <w:tab/>
        </w:r>
        <w:r w:rsidRPr="00A132C2">
          <w:rPr>
            <w:rStyle w:val="Hyperlink"/>
            <w:noProof/>
          </w:rPr>
          <w:t>RAN2 to discuss enhancements to positioning capabilities, configuration and measurements to handle timing errors by enabling more positioning information to the positioning problem.</w:t>
        </w:r>
      </w:hyperlink>
    </w:p>
    <w:p w14:paraId="266DD7A5"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31" w:history="1">
        <w:r w:rsidRPr="00A132C2">
          <w:rPr>
            <w:rStyle w:val="Hyperlink"/>
            <w:noProof/>
          </w:rPr>
          <w:t>Proposal 4</w:t>
        </w:r>
        <w:r>
          <w:rPr>
            <w:rFonts w:asciiTheme="minorHAnsi" w:eastAsiaTheme="minorEastAsia" w:hAnsiTheme="minorHAnsi" w:cstheme="minorBidi"/>
            <w:b w:val="0"/>
            <w:noProof/>
            <w:sz w:val="22"/>
            <w:szCs w:val="22"/>
            <w:lang w:val="sv-SE" w:eastAsia="sv-SE"/>
          </w:rPr>
          <w:tab/>
        </w:r>
        <w:r w:rsidRPr="00A132C2">
          <w:rPr>
            <w:rStyle w:val="Hyperlink"/>
            <w:noProof/>
          </w:rPr>
          <w:t>Note the RAN1 LS and monitor related RAN3 work</w:t>
        </w:r>
      </w:hyperlink>
    </w:p>
    <w:p w14:paraId="5EF6A14B"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32" w:history="1">
        <w:r w:rsidRPr="00A132C2">
          <w:rPr>
            <w:rStyle w:val="Hyperlink"/>
            <w:noProof/>
          </w:rPr>
          <w:t>Proposal 5</w:t>
        </w:r>
        <w:r>
          <w:rPr>
            <w:rFonts w:asciiTheme="minorHAnsi" w:eastAsiaTheme="minorEastAsia" w:hAnsiTheme="minorHAnsi" w:cstheme="minorBidi"/>
            <w:b w:val="0"/>
            <w:noProof/>
            <w:sz w:val="22"/>
            <w:szCs w:val="22"/>
            <w:lang w:val="sv-SE" w:eastAsia="sv-SE"/>
          </w:rPr>
          <w:tab/>
        </w:r>
        <w:r w:rsidRPr="00A132C2">
          <w:rPr>
            <w:rStyle w:val="Hyperlink"/>
            <w:noProof/>
          </w:rPr>
          <w:t>RAN2 to discuss representation of angular information per path as well as the supported number of additional paths</w:t>
        </w:r>
      </w:hyperlink>
    </w:p>
    <w:p w14:paraId="3696979C" w14:textId="77777777" w:rsidR="005F5231" w:rsidRDefault="005F523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433" w:history="1">
        <w:r w:rsidRPr="00A132C2">
          <w:rPr>
            <w:rStyle w:val="Hyperlink"/>
            <w:noProof/>
          </w:rPr>
          <w:t>Proposal 6</w:t>
        </w:r>
        <w:r>
          <w:rPr>
            <w:rFonts w:asciiTheme="minorHAnsi" w:eastAsiaTheme="minorEastAsia" w:hAnsiTheme="minorHAnsi" w:cstheme="minorBidi"/>
            <w:b w:val="0"/>
            <w:noProof/>
            <w:sz w:val="22"/>
            <w:szCs w:val="22"/>
            <w:lang w:val="sv-SE" w:eastAsia="sv-SE"/>
          </w:rPr>
          <w:tab/>
        </w:r>
        <w:r w:rsidRPr="00A132C2">
          <w:rPr>
            <w:rStyle w:val="Hyperlink"/>
            <w:noProof/>
          </w:rPr>
          <w:t>RAN2 to discuss representation of further additional paths as well as richer information per path</w:t>
        </w:r>
      </w:hyperlink>
    </w:p>
    <w:p w14:paraId="4CBCED3D" w14:textId="60C8325F" w:rsidR="00975BDA" w:rsidRPr="00977445" w:rsidRDefault="00975BDA" w:rsidP="00977445">
      <w:pPr>
        <w:pStyle w:val="BodyText"/>
        <w:rPr>
          <w:b/>
        </w:rPr>
      </w:pPr>
      <w:r>
        <w:rPr>
          <w:b/>
          <w:bCs/>
          <w:lang w:val="en-US"/>
        </w:rPr>
        <w:fldChar w:fldCharType="end"/>
      </w:r>
      <w:r w:rsidRPr="00CE0424">
        <w:rPr>
          <w:b/>
          <w:bCs/>
        </w:rPr>
        <w:t xml:space="preserve"> </w:t>
      </w:r>
    </w:p>
    <w:p w14:paraId="06E61641" w14:textId="77777777" w:rsidR="00975BDA" w:rsidRPr="00CE0424" w:rsidRDefault="00975BDA" w:rsidP="00975BDA">
      <w:pPr>
        <w:pStyle w:val="Heading1"/>
      </w:pPr>
      <w:bookmarkStart w:id="19" w:name="_In-sequence_SDU_delivery"/>
      <w:bookmarkEnd w:id="19"/>
      <w:r w:rsidRPr="00CE0424">
        <w:t>References</w:t>
      </w:r>
    </w:p>
    <w:p w14:paraId="43F06DF7" w14:textId="77777777" w:rsidR="00975BDA" w:rsidRPr="000A4701" w:rsidRDefault="00975BDA" w:rsidP="00975BDA">
      <w:pPr>
        <w:pStyle w:val="Reference"/>
        <w:rPr>
          <w:rStyle w:val="normaltextrun"/>
          <w:rFonts w:cs="Arial"/>
          <w:bCs/>
          <w:color w:val="000000"/>
          <w:sz w:val="18"/>
          <w:shd w:val="clear" w:color="auto" w:fill="FFFFFF"/>
        </w:rPr>
      </w:pPr>
      <w:bookmarkStart w:id="20" w:name="_Ref78551598"/>
      <w:bookmarkStart w:id="21" w:name="_Ref77938331"/>
      <w:bookmarkStart w:id="22" w:name="_Ref76311383"/>
      <w:bookmarkStart w:id="23" w:name="_Ref174151459"/>
      <w:bookmarkStart w:id="24" w:name="_Ref189809556"/>
      <w:r w:rsidRPr="00FD02C8">
        <w:rPr>
          <w:rStyle w:val="normaltextrun"/>
          <w:rFonts w:cs="Arial"/>
          <w:bCs/>
          <w:color w:val="000000"/>
          <w:sz w:val="18"/>
          <w:shd w:val="clear" w:color="auto" w:fill="FFFFFF"/>
        </w:rPr>
        <w:t>3GPP TS 23.273 V17.1.0 (2021-06)</w:t>
      </w:r>
      <w:r>
        <w:rPr>
          <w:rStyle w:val="normaltextrun"/>
          <w:rFonts w:cs="Arial"/>
          <w:bCs/>
          <w:color w:val="000000"/>
          <w:sz w:val="18"/>
          <w:shd w:val="clear" w:color="auto" w:fill="FFFFFF"/>
        </w:rPr>
        <w:t>, “</w:t>
      </w:r>
      <w:r w:rsidRPr="000A4701">
        <w:rPr>
          <w:rStyle w:val="normaltextrun"/>
          <w:rFonts w:cs="Arial"/>
          <w:bCs/>
          <w:color w:val="000000"/>
          <w:sz w:val="18"/>
          <w:shd w:val="clear" w:color="auto" w:fill="FFFFFF"/>
        </w:rPr>
        <w:t>3rd Generation Partnership Project;</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Technical Specification Group Services and System Aspects;</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5G System (5GS) Location Services (LCS);</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Stage 2</w:t>
      </w:r>
      <w:r>
        <w:rPr>
          <w:rStyle w:val="normaltextrun"/>
          <w:rFonts w:cs="Arial"/>
          <w:bCs/>
          <w:color w:val="000000"/>
          <w:sz w:val="18"/>
          <w:shd w:val="clear" w:color="auto" w:fill="FFFFFF"/>
        </w:rPr>
        <w:t xml:space="preserve"> </w:t>
      </w:r>
      <w:r w:rsidRPr="000A4701">
        <w:rPr>
          <w:rStyle w:val="normaltextrun"/>
          <w:rFonts w:cs="Arial"/>
          <w:bCs/>
          <w:color w:val="000000"/>
          <w:sz w:val="18"/>
          <w:shd w:val="clear" w:color="auto" w:fill="FFFFFF"/>
        </w:rPr>
        <w:t>(Release 17)”</w:t>
      </w:r>
      <w:bookmarkEnd w:id="20"/>
    </w:p>
    <w:p w14:paraId="79B778F7" w14:textId="77777777" w:rsidR="00975BDA" w:rsidRPr="00E25991" w:rsidRDefault="00975BDA" w:rsidP="00975BDA">
      <w:pPr>
        <w:pStyle w:val="Reference"/>
        <w:rPr>
          <w:rStyle w:val="normaltextrun"/>
          <w:rFonts w:cs="Arial"/>
          <w:bCs/>
          <w:color w:val="000000"/>
          <w:sz w:val="18"/>
          <w:shd w:val="clear" w:color="auto" w:fill="FFFFFF"/>
        </w:rPr>
      </w:pPr>
      <w:bookmarkStart w:id="25" w:name="_Ref78551573"/>
      <w:r w:rsidRPr="00A24ADD">
        <w:rPr>
          <w:rStyle w:val="normaltextrun"/>
          <w:rFonts w:cs="Arial"/>
          <w:bCs/>
          <w:color w:val="000000"/>
          <w:sz w:val="18"/>
          <w:shd w:val="clear" w:color="auto" w:fill="FFFFFF"/>
        </w:rPr>
        <w:t>3GPP TS 3</w:t>
      </w:r>
      <w:r>
        <w:rPr>
          <w:rStyle w:val="normaltextrun"/>
          <w:rFonts w:cs="Arial"/>
          <w:bCs/>
          <w:color w:val="000000"/>
          <w:sz w:val="18"/>
          <w:shd w:val="clear" w:color="auto" w:fill="FFFFFF"/>
        </w:rPr>
        <w:t>8</w:t>
      </w:r>
      <w:r w:rsidRPr="00A24ADD">
        <w:rPr>
          <w:rStyle w:val="normaltextrun"/>
          <w:rFonts w:cs="Arial"/>
          <w:bCs/>
          <w:color w:val="000000"/>
          <w:sz w:val="18"/>
          <w:shd w:val="clear" w:color="auto" w:fill="FFFFFF"/>
        </w:rPr>
        <w:t>.3</w:t>
      </w:r>
      <w:r>
        <w:rPr>
          <w:rStyle w:val="normaltextrun"/>
          <w:rFonts w:cs="Arial"/>
          <w:bCs/>
          <w:color w:val="000000"/>
          <w:sz w:val="18"/>
          <w:shd w:val="clear" w:color="auto" w:fill="FFFFFF"/>
        </w:rPr>
        <w:t>0</w:t>
      </w:r>
      <w:r w:rsidRPr="00A24ADD">
        <w:rPr>
          <w:rStyle w:val="normaltextrun"/>
          <w:rFonts w:cs="Arial"/>
          <w:bCs/>
          <w:color w:val="000000"/>
          <w:sz w:val="18"/>
          <w:shd w:val="clear" w:color="auto" w:fill="FFFFFF"/>
        </w:rPr>
        <w:t>5 V16.</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.0 (202</w:t>
      </w:r>
      <w:r>
        <w:rPr>
          <w:rStyle w:val="normaltextrun"/>
          <w:rFonts w:cs="Arial"/>
          <w:bCs/>
          <w:color w:val="000000"/>
          <w:sz w:val="18"/>
          <w:shd w:val="clear" w:color="auto" w:fill="FFFFFF"/>
        </w:rPr>
        <w:t>1</w:t>
      </w:r>
      <w:r w:rsidRPr="00A24ADD">
        <w:rPr>
          <w:rStyle w:val="normaltextrun"/>
          <w:rFonts w:cs="Arial"/>
          <w:bCs/>
          <w:color w:val="000000"/>
          <w:sz w:val="18"/>
          <w:shd w:val="clear" w:color="auto" w:fill="FFFFFF"/>
        </w:rPr>
        <w:t>-0</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 xml:space="preserve">), </w:t>
      </w:r>
      <w:r w:rsidRPr="00794F4D">
        <w:t>“</w:t>
      </w:r>
      <w:r w:rsidRPr="00E25991">
        <w:rPr>
          <w:rStyle w:val="normaltextrun"/>
          <w:rFonts w:cs="Arial"/>
          <w:bCs/>
          <w:color w:val="000000"/>
          <w:sz w:val="18"/>
          <w:shd w:val="clear" w:color="auto" w:fill="FFFFFF"/>
        </w:rPr>
        <w:t>5G;</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NG Radio Access Network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Stage 2 functional specification of User Equipment (UE)</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positioning in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(Release 16)</w:t>
      </w:r>
      <w:bookmarkEnd w:id="21"/>
      <w:bookmarkEnd w:id="25"/>
    </w:p>
    <w:p w14:paraId="7325AC28" w14:textId="7ED9FCD7" w:rsidR="00975BDA" w:rsidRPr="00CE0424" w:rsidRDefault="00975BDA" w:rsidP="00975BDA">
      <w:pPr>
        <w:pStyle w:val="Reference"/>
      </w:pPr>
      <w:bookmarkStart w:id="26" w:name="_Ref76313074"/>
      <w:bookmarkEnd w:id="22"/>
      <w:bookmarkEnd w:id="23"/>
      <w:bookmarkEnd w:id="24"/>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r w:rsidRPr="003F279A">
        <w:rPr>
          <w:rFonts w:cs="Arial"/>
          <w:sz w:val="18"/>
        </w:rPr>
        <w:t xml:space="preserve"> “</w:t>
      </w:r>
      <w:bookmarkEnd w:id="26"/>
    </w:p>
    <w:p w14:paraId="0BC5BBB2" w14:textId="183CC1D4" w:rsidR="00875E6E" w:rsidRDefault="00875E6E" w:rsidP="00975BDA">
      <w:pPr>
        <w:pStyle w:val="Reference"/>
      </w:pPr>
      <w:r w:rsidRPr="00875E6E">
        <w:rPr>
          <w:lang w:val="sv-SE"/>
        </w:rPr>
        <w:t xml:space="preserve">Rath, Michael &amp; Kulmer, Josef &amp; Leitinger, Erik &amp; Witrisal, Klaus. </w:t>
      </w:r>
      <w:r w:rsidRPr="00875E6E">
        <w:t xml:space="preserve">(2020). Single-Anchor Positioning: Multipath Processing </w:t>
      </w:r>
      <w:proofErr w:type="gramStart"/>
      <w:r w:rsidRPr="00875E6E">
        <w:t>With</w:t>
      </w:r>
      <w:proofErr w:type="gramEnd"/>
      <w:r w:rsidRPr="00875E6E">
        <w:t xml:space="preserve"> Non-Coherent Directional Measurements. IEEE Access. PP. 1-1. 10.1109/ACCESS.2020.2993197.</w:t>
      </w:r>
    </w:p>
    <w:p w14:paraId="7AA980FA" w14:textId="77777777" w:rsidR="00977445" w:rsidRPr="00CE0424" w:rsidRDefault="00977445" w:rsidP="00977445">
      <w:pPr>
        <w:pStyle w:val="Reference"/>
      </w:pPr>
      <w:r w:rsidRPr="00875E6E">
        <w:t xml:space="preserve">Nguyen, Anh &amp; </w:t>
      </w:r>
      <w:proofErr w:type="spellStart"/>
      <w:r w:rsidRPr="00875E6E">
        <w:t>Rath</w:t>
      </w:r>
      <w:proofErr w:type="spellEnd"/>
      <w:r w:rsidRPr="00875E6E">
        <w:t xml:space="preserve">, Michael &amp; </w:t>
      </w:r>
      <w:proofErr w:type="spellStart"/>
      <w:r w:rsidRPr="00875E6E">
        <w:t>Leitinger</w:t>
      </w:r>
      <w:proofErr w:type="spellEnd"/>
      <w:r w:rsidRPr="00875E6E">
        <w:t xml:space="preserve">, Erik &amp; </w:t>
      </w:r>
      <w:proofErr w:type="spellStart"/>
      <w:r w:rsidRPr="00875E6E">
        <w:t>Grebien</w:t>
      </w:r>
      <w:proofErr w:type="spellEnd"/>
      <w:r w:rsidRPr="00875E6E">
        <w:t xml:space="preserve">, Stefan &amp; Nguyen, </w:t>
      </w:r>
      <w:proofErr w:type="spellStart"/>
      <w:r w:rsidRPr="00875E6E">
        <w:t>Khang</w:t>
      </w:r>
      <w:proofErr w:type="spellEnd"/>
      <w:r w:rsidRPr="00875E6E">
        <w:t xml:space="preserve"> &amp; </w:t>
      </w:r>
      <w:proofErr w:type="spellStart"/>
      <w:r w:rsidRPr="00875E6E">
        <w:t>Witrisal</w:t>
      </w:r>
      <w:proofErr w:type="spellEnd"/>
      <w:r w:rsidRPr="00875E6E">
        <w:t>, Klaus. (2016). Channel Capacity Analysis of Indoor Environments for Location-Aware Communications.</w:t>
      </w:r>
      <w:r>
        <w:t xml:space="preserve">, </w:t>
      </w:r>
      <w:r w:rsidRPr="00875E6E">
        <w:t>GLO</w:t>
      </w:r>
      <w:r>
        <w:t>BE</w:t>
      </w:r>
      <w:r w:rsidRPr="00875E6E">
        <w:t>COM.2016</w:t>
      </w:r>
    </w:p>
    <w:p w14:paraId="6DE49CC2" w14:textId="3CA6E719" w:rsidR="00875E6E" w:rsidRDefault="00875E6E" w:rsidP="00875E6E">
      <w:pPr>
        <w:pStyle w:val="Reference"/>
      </w:pPr>
      <w:r w:rsidRPr="00875E6E">
        <w:rPr>
          <w:lang w:val="sv-SE"/>
        </w:rPr>
        <w:t xml:space="preserve">Rath, Michael &amp; Kulmer, Josef &amp; Leitinger, Erik &amp; Witrisal, Klaus. </w:t>
      </w:r>
      <w:r w:rsidRPr="00875E6E">
        <w:t xml:space="preserve">(2020). Single-Anchor Positioning: Multipath Processing </w:t>
      </w:r>
      <w:proofErr w:type="gramStart"/>
      <w:r w:rsidRPr="00875E6E">
        <w:t>With</w:t>
      </w:r>
      <w:proofErr w:type="gramEnd"/>
      <w:r w:rsidRPr="00875E6E">
        <w:t xml:space="preserve"> Non-Coherent Directional Measurements. IEEE Access. </w:t>
      </w:r>
    </w:p>
    <w:p w14:paraId="704C2BCB" w14:textId="77777777" w:rsidR="003A7EF3" w:rsidRPr="00663192" w:rsidRDefault="003A7EF3" w:rsidP="00663192"/>
    <w:sectPr w:rsidR="003A7EF3" w:rsidRPr="006631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612D1" w16cex:dateUtc="2021-08-05T05:33:00Z"/>
  <w16cex:commentExtensible w16cex:durableId="24B612EF" w16cex:dateUtc="2021-08-05T05: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FE54D" w14:textId="77777777" w:rsidR="00683E5B" w:rsidRDefault="00683E5B">
      <w:r>
        <w:separator/>
      </w:r>
    </w:p>
  </w:endnote>
  <w:endnote w:type="continuationSeparator" w:id="0">
    <w:p w14:paraId="74975DA0" w14:textId="77777777" w:rsidR="00683E5B" w:rsidRDefault="00683E5B">
      <w:r>
        <w:continuationSeparator/>
      </w:r>
    </w:p>
  </w:endnote>
  <w:endnote w:type="continuationNotice" w:id="1">
    <w:p w14:paraId="2308551F" w14:textId="77777777" w:rsidR="00683E5B" w:rsidRDefault="00683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32732" w14:textId="77777777" w:rsidR="00683E5B" w:rsidRDefault="00683E5B">
      <w:r>
        <w:separator/>
      </w:r>
    </w:p>
  </w:footnote>
  <w:footnote w:type="continuationSeparator" w:id="0">
    <w:p w14:paraId="7A89D7E3" w14:textId="77777777" w:rsidR="00683E5B" w:rsidRDefault="00683E5B">
      <w:r>
        <w:continuationSeparator/>
      </w:r>
    </w:p>
  </w:footnote>
  <w:footnote w:type="continuationNotice" w:id="1">
    <w:p w14:paraId="57DEDF6B" w14:textId="77777777" w:rsidR="00683E5B" w:rsidRDefault="00683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400578"/>
    <w:multiLevelType w:val="hybridMultilevel"/>
    <w:tmpl w:val="794854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C5157D"/>
    <w:multiLevelType w:val="hybridMultilevel"/>
    <w:tmpl w:val="A81CCC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6"/>
  </w:num>
  <w:num w:numId="18">
    <w:abstractNumId w:val="8"/>
  </w:num>
  <w:num w:numId="19">
    <w:abstractNumId w:val="5"/>
  </w:num>
  <w:num w:numId="20">
    <w:abstractNumId w:val="29"/>
  </w:num>
  <w:num w:numId="21">
    <w:abstractNumId w:val="15"/>
  </w:num>
  <w:num w:numId="22">
    <w:abstractNumId w:val="28"/>
  </w:num>
  <w:num w:numId="23">
    <w:abstractNumId w:val="19"/>
  </w:num>
  <w:num w:numId="24">
    <w:abstractNumId w:val="14"/>
  </w:num>
  <w:num w:numId="25">
    <w:abstractNumId w:val="31"/>
  </w:num>
  <w:num w:numId="26">
    <w:abstractNumId w:val="25"/>
  </w:num>
  <w:num w:numId="27">
    <w:abstractNumId w:val="27"/>
  </w:num>
  <w:num w:numId="28">
    <w:abstractNumId w:val="30"/>
  </w:num>
  <w:num w:numId="29">
    <w:abstractNumId w:val="4"/>
  </w:num>
  <w:num w:numId="30">
    <w:abstractNumId w:val="30"/>
  </w:num>
  <w:num w:numId="31">
    <w:abstractNumId w:val="4"/>
  </w:num>
  <w:num w:numId="32">
    <w:abstractNumId w:val="4"/>
  </w:num>
  <w:num w:numId="33">
    <w:abstractNumId w:val="9"/>
  </w:num>
  <w:num w:numId="34">
    <w:abstractNumId w:val="7"/>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A37"/>
    <w:rsid w:val="0000564C"/>
    <w:rsid w:val="00006446"/>
    <w:rsid w:val="00006896"/>
    <w:rsid w:val="00007CDC"/>
    <w:rsid w:val="00011B28"/>
    <w:rsid w:val="00012F2C"/>
    <w:rsid w:val="00015D15"/>
    <w:rsid w:val="00017F4B"/>
    <w:rsid w:val="0002508A"/>
    <w:rsid w:val="0002564D"/>
    <w:rsid w:val="00025ECA"/>
    <w:rsid w:val="00026049"/>
    <w:rsid w:val="0002730C"/>
    <w:rsid w:val="00030884"/>
    <w:rsid w:val="00031345"/>
    <w:rsid w:val="000325B8"/>
    <w:rsid w:val="00034C15"/>
    <w:rsid w:val="00036BA1"/>
    <w:rsid w:val="00036C95"/>
    <w:rsid w:val="00037D91"/>
    <w:rsid w:val="000422E2"/>
    <w:rsid w:val="00042F22"/>
    <w:rsid w:val="000444EF"/>
    <w:rsid w:val="00045690"/>
    <w:rsid w:val="00047595"/>
    <w:rsid w:val="00051AD9"/>
    <w:rsid w:val="00052A07"/>
    <w:rsid w:val="00052F59"/>
    <w:rsid w:val="000534E3"/>
    <w:rsid w:val="00055A19"/>
    <w:rsid w:val="0005606A"/>
    <w:rsid w:val="00057117"/>
    <w:rsid w:val="000616E7"/>
    <w:rsid w:val="0006487E"/>
    <w:rsid w:val="00064A25"/>
    <w:rsid w:val="00065E1A"/>
    <w:rsid w:val="0006785F"/>
    <w:rsid w:val="00077E5F"/>
    <w:rsid w:val="00077E93"/>
    <w:rsid w:val="0008036A"/>
    <w:rsid w:val="00081AE6"/>
    <w:rsid w:val="000855EB"/>
    <w:rsid w:val="00085B52"/>
    <w:rsid w:val="00086020"/>
    <w:rsid w:val="0008609A"/>
    <w:rsid w:val="000861FC"/>
    <w:rsid w:val="000866F2"/>
    <w:rsid w:val="0009009F"/>
    <w:rsid w:val="00091557"/>
    <w:rsid w:val="000924C1"/>
    <w:rsid w:val="000924F0"/>
    <w:rsid w:val="00093474"/>
    <w:rsid w:val="00094296"/>
    <w:rsid w:val="0009510F"/>
    <w:rsid w:val="000979A7"/>
    <w:rsid w:val="000A1B7B"/>
    <w:rsid w:val="000A4701"/>
    <w:rsid w:val="000A56F2"/>
    <w:rsid w:val="000B2719"/>
    <w:rsid w:val="000B3A8F"/>
    <w:rsid w:val="000B4AB9"/>
    <w:rsid w:val="000B55CB"/>
    <w:rsid w:val="000B58C3"/>
    <w:rsid w:val="000B61E9"/>
    <w:rsid w:val="000C165A"/>
    <w:rsid w:val="000C2E19"/>
    <w:rsid w:val="000D0D07"/>
    <w:rsid w:val="000D4797"/>
    <w:rsid w:val="000E0527"/>
    <w:rsid w:val="000E1E92"/>
    <w:rsid w:val="000E6BB0"/>
    <w:rsid w:val="000F06D6"/>
    <w:rsid w:val="000F0EB1"/>
    <w:rsid w:val="000F1106"/>
    <w:rsid w:val="000F3BE9"/>
    <w:rsid w:val="000F3F6C"/>
    <w:rsid w:val="000F6DF3"/>
    <w:rsid w:val="000F7B1E"/>
    <w:rsid w:val="001005FF"/>
    <w:rsid w:val="001022AD"/>
    <w:rsid w:val="001062FB"/>
    <w:rsid w:val="001063E6"/>
    <w:rsid w:val="0010740A"/>
    <w:rsid w:val="00111547"/>
    <w:rsid w:val="00113CF4"/>
    <w:rsid w:val="00114AFF"/>
    <w:rsid w:val="001153EA"/>
    <w:rsid w:val="00115643"/>
    <w:rsid w:val="00116765"/>
    <w:rsid w:val="001219F5"/>
    <w:rsid w:val="00121A20"/>
    <w:rsid w:val="00121EC3"/>
    <w:rsid w:val="0012377F"/>
    <w:rsid w:val="00124314"/>
    <w:rsid w:val="001262CF"/>
    <w:rsid w:val="00126B4A"/>
    <w:rsid w:val="0012747B"/>
    <w:rsid w:val="00132FD0"/>
    <w:rsid w:val="001344C0"/>
    <w:rsid w:val="001346FA"/>
    <w:rsid w:val="00135252"/>
    <w:rsid w:val="00137AB5"/>
    <w:rsid w:val="00137F0B"/>
    <w:rsid w:val="00142E46"/>
    <w:rsid w:val="0014459A"/>
    <w:rsid w:val="0014505F"/>
    <w:rsid w:val="0014646E"/>
    <w:rsid w:val="001476C7"/>
    <w:rsid w:val="00151E23"/>
    <w:rsid w:val="001526E0"/>
    <w:rsid w:val="001551B5"/>
    <w:rsid w:val="00156192"/>
    <w:rsid w:val="0016122B"/>
    <w:rsid w:val="001650AF"/>
    <w:rsid w:val="001659C1"/>
    <w:rsid w:val="00170F4D"/>
    <w:rsid w:val="001715F1"/>
    <w:rsid w:val="001722D8"/>
    <w:rsid w:val="00172E9A"/>
    <w:rsid w:val="001733BC"/>
    <w:rsid w:val="00173A8E"/>
    <w:rsid w:val="0017502C"/>
    <w:rsid w:val="00175810"/>
    <w:rsid w:val="00176D52"/>
    <w:rsid w:val="00180D82"/>
    <w:rsid w:val="0018143F"/>
    <w:rsid w:val="00181FF8"/>
    <w:rsid w:val="00187132"/>
    <w:rsid w:val="00187344"/>
    <w:rsid w:val="00190AC1"/>
    <w:rsid w:val="0019341A"/>
    <w:rsid w:val="00197393"/>
    <w:rsid w:val="00197DF9"/>
    <w:rsid w:val="001A1987"/>
    <w:rsid w:val="001A2564"/>
    <w:rsid w:val="001A6173"/>
    <w:rsid w:val="001A6CBA"/>
    <w:rsid w:val="001B0D97"/>
    <w:rsid w:val="001B1FC4"/>
    <w:rsid w:val="001B2DE7"/>
    <w:rsid w:val="001B5A5D"/>
    <w:rsid w:val="001B7939"/>
    <w:rsid w:val="001C1CE5"/>
    <w:rsid w:val="001C3D2A"/>
    <w:rsid w:val="001C7503"/>
    <w:rsid w:val="001D1280"/>
    <w:rsid w:val="001D51BA"/>
    <w:rsid w:val="001D53E7"/>
    <w:rsid w:val="001D6342"/>
    <w:rsid w:val="001D6D53"/>
    <w:rsid w:val="001D6E90"/>
    <w:rsid w:val="001E58E2"/>
    <w:rsid w:val="001E7AED"/>
    <w:rsid w:val="001F3916"/>
    <w:rsid w:val="001F42B2"/>
    <w:rsid w:val="001F54C5"/>
    <w:rsid w:val="001F5693"/>
    <w:rsid w:val="001F662C"/>
    <w:rsid w:val="001F7074"/>
    <w:rsid w:val="00200490"/>
    <w:rsid w:val="0020113C"/>
    <w:rsid w:val="00201E62"/>
    <w:rsid w:val="00201F3A"/>
    <w:rsid w:val="0020390C"/>
    <w:rsid w:val="00203F08"/>
    <w:rsid w:val="00203F96"/>
    <w:rsid w:val="0020528C"/>
    <w:rsid w:val="0020632C"/>
    <w:rsid w:val="002069B2"/>
    <w:rsid w:val="002078C5"/>
    <w:rsid w:val="00207FA3"/>
    <w:rsid w:val="0021358B"/>
    <w:rsid w:val="00214DA8"/>
    <w:rsid w:val="00215423"/>
    <w:rsid w:val="002158FA"/>
    <w:rsid w:val="00217182"/>
    <w:rsid w:val="0022045D"/>
    <w:rsid w:val="00220600"/>
    <w:rsid w:val="0022091E"/>
    <w:rsid w:val="002224DB"/>
    <w:rsid w:val="00223FCB"/>
    <w:rsid w:val="002252C3"/>
    <w:rsid w:val="00225C54"/>
    <w:rsid w:val="002300FA"/>
    <w:rsid w:val="00230765"/>
    <w:rsid w:val="00230D18"/>
    <w:rsid w:val="002319E4"/>
    <w:rsid w:val="00235632"/>
    <w:rsid w:val="00235872"/>
    <w:rsid w:val="002408FC"/>
    <w:rsid w:val="00241559"/>
    <w:rsid w:val="002435B3"/>
    <w:rsid w:val="00244DD0"/>
    <w:rsid w:val="00245873"/>
    <w:rsid w:val="002458EB"/>
    <w:rsid w:val="002500C8"/>
    <w:rsid w:val="0025021B"/>
    <w:rsid w:val="00257543"/>
    <w:rsid w:val="002617E7"/>
    <w:rsid w:val="002620AD"/>
    <w:rsid w:val="00263442"/>
    <w:rsid w:val="00264228"/>
    <w:rsid w:val="00264334"/>
    <w:rsid w:val="0026473E"/>
    <w:rsid w:val="00265837"/>
    <w:rsid w:val="00266214"/>
    <w:rsid w:val="00267C83"/>
    <w:rsid w:val="0027144F"/>
    <w:rsid w:val="00271813"/>
    <w:rsid w:val="00271F3A"/>
    <w:rsid w:val="00273278"/>
    <w:rsid w:val="002737F4"/>
    <w:rsid w:val="00276D42"/>
    <w:rsid w:val="002805F5"/>
    <w:rsid w:val="00280751"/>
    <w:rsid w:val="00280F96"/>
    <w:rsid w:val="0028280A"/>
    <w:rsid w:val="00286ACD"/>
    <w:rsid w:val="00287838"/>
    <w:rsid w:val="002907B5"/>
    <w:rsid w:val="00292EB7"/>
    <w:rsid w:val="00294C61"/>
    <w:rsid w:val="00295339"/>
    <w:rsid w:val="002960DF"/>
    <w:rsid w:val="00296227"/>
    <w:rsid w:val="00296F44"/>
    <w:rsid w:val="002975CB"/>
    <w:rsid w:val="0029777D"/>
    <w:rsid w:val="002A055E"/>
    <w:rsid w:val="002A099F"/>
    <w:rsid w:val="002A173C"/>
    <w:rsid w:val="002A1D4E"/>
    <w:rsid w:val="002A248E"/>
    <w:rsid w:val="002A2869"/>
    <w:rsid w:val="002B24D6"/>
    <w:rsid w:val="002B70C4"/>
    <w:rsid w:val="002C41E6"/>
    <w:rsid w:val="002C782B"/>
    <w:rsid w:val="002C7D53"/>
    <w:rsid w:val="002D071A"/>
    <w:rsid w:val="002D34AA"/>
    <w:rsid w:val="002D34B2"/>
    <w:rsid w:val="002D48B0"/>
    <w:rsid w:val="002D5B37"/>
    <w:rsid w:val="002D6192"/>
    <w:rsid w:val="002D63A4"/>
    <w:rsid w:val="002D7637"/>
    <w:rsid w:val="002E17F2"/>
    <w:rsid w:val="002E7CAE"/>
    <w:rsid w:val="002F0C83"/>
    <w:rsid w:val="002F2771"/>
    <w:rsid w:val="002F37A9"/>
    <w:rsid w:val="00301CE6"/>
    <w:rsid w:val="0030256B"/>
    <w:rsid w:val="0030306D"/>
    <w:rsid w:val="00303F5D"/>
    <w:rsid w:val="0030501F"/>
    <w:rsid w:val="00306806"/>
    <w:rsid w:val="00307BA1"/>
    <w:rsid w:val="00311702"/>
    <w:rsid w:val="00311E82"/>
    <w:rsid w:val="00313FD6"/>
    <w:rsid w:val="003143BD"/>
    <w:rsid w:val="00315363"/>
    <w:rsid w:val="003178E6"/>
    <w:rsid w:val="003203ED"/>
    <w:rsid w:val="00322C9F"/>
    <w:rsid w:val="00324D23"/>
    <w:rsid w:val="00325B60"/>
    <w:rsid w:val="00326005"/>
    <w:rsid w:val="00331751"/>
    <w:rsid w:val="00334579"/>
    <w:rsid w:val="00335858"/>
    <w:rsid w:val="00335DFB"/>
    <w:rsid w:val="00336BDA"/>
    <w:rsid w:val="00341AE8"/>
    <w:rsid w:val="00342BD7"/>
    <w:rsid w:val="00346DB5"/>
    <w:rsid w:val="003477B1"/>
    <w:rsid w:val="003503E9"/>
    <w:rsid w:val="00355B1B"/>
    <w:rsid w:val="00357380"/>
    <w:rsid w:val="003602D9"/>
    <w:rsid w:val="003604CE"/>
    <w:rsid w:val="00364B86"/>
    <w:rsid w:val="00366103"/>
    <w:rsid w:val="00370E47"/>
    <w:rsid w:val="003742AC"/>
    <w:rsid w:val="00377CE1"/>
    <w:rsid w:val="00381398"/>
    <w:rsid w:val="00383805"/>
    <w:rsid w:val="00385BF0"/>
    <w:rsid w:val="00387F16"/>
    <w:rsid w:val="00391B3D"/>
    <w:rsid w:val="00391D13"/>
    <w:rsid w:val="003934F7"/>
    <w:rsid w:val="003939FF"/>
    <w:rsid w:val="003971B7"/>
    <w:rsid w:val="003A0E2D"/>
    <w:rsid w:val="003A2223"/>
    <w:rsid w:val="003A2A0F"/>
    <w:rsid w:val="003A45A1"/>
    <w:rsid w:val="003A5B0A"/>
    <w:rsid w:val="003A6BAC"/>
    <w:rsid w:val="003A70A4"/>
    <w:rsid w:val="003A7EF3"/>
    <w:rsid w:val="003B1204"/>
    <w:rsid w:val="003B159C"/>
    <w:rsid w:val="003B2107"/>
    <w:rsid w:val="003B30F8"/>
    <w:rsid w:val="003B369F"/>
    <w:rsid w:val="003B36A3"/>
    <w:rsid w:val="003B64BB"/>
    <w:rsid w:val="003B7FE5"/>
    <w:rsid w:val="003C0B8C"/>
    <w:rsid w:val="003C11C8"/>
    <w:rsid w:val="003C2702"/>
    <w:rsid w:val="003C4999"/>
    <w:rsid w:val="003C7806"/>
    <w:rsid w:val="003D109F"/>
    <w:rsid w:val="003D2478"/>
    <w:rsid w:val="003D285F"/>
    <w:rsid w:val="003D3C45"/>
    <w:rsid w:val="003D42E7"/>
    <w:rsid w:val="003D445F"/>
    <w:rsid w:val="003D5B1F"/>
    <w:rsid w:val="003D6629"/>
    <w:rsid w:val="003E15FA"/>
    <w:rsid w:val="003E55E4"/>
    <w:rsid w:val="003E74E3"/>
    <w:rsid w:val="003E798E"/>
    <w:rsid w:val="003F05C7"/>
    <w:rsid w:val="003F2C90"/>
    <w:rsid w:val="003F2CD4"/>
    <w:rsid w:val="003F32F1"/>
    <w:rsid w:val="003F6BBE"/>
    <w:rsid w:val="004000E8"/>
    <w:rsid w:val="00402E2B"/>
    <w:rsid w:val="00403D7B"/>
    <w:rsid w:val="0040512B"/>
    <w:rsid w:val="00405CA5"/>
    <w:rsid w:val="00407CD3"/>
    <w:rsid w:val="00410134"/>
    <w:rsid w:val="00410B72"/>
    <w:rsid w:val="00410F18"/>
    <w:rsid w:val="004117DC"/>
    <w:rsid w:val="0041184D"/>
    <w:rsid w:val="0041263E"/>
    <w:rsid w:val="004136EA"/>
    <w:rsid w:val="00413AAC"/>
    <w:rsid w:val="00413E92"/>
    <w:rsid w:val="00416CCF"/>
    <w:rsid w:val="00420E5E"/>
    <w:rsid w:val="00421105"/>
    <w:rsid w:val="00421C78"/>
    <w:rsid w:val="00422AA4"/>
    <w:rsid w:val="0042335A"/>
    <w:rsid w:val="004242F4"/>
    <w:rsid w:val="00427248"/>
    <w:rsid w:val="00435610"/>
    <w:rsid w:val="00437447"/>
    <w:rsid w:val="00441A92"/>
    <w:rsid w:val="00442551"/>
    <w:rsid w:val="004431DC"/>
    <w:rsid w:val="0044406D"/>
    <w:rsid w:val="004440EA"/>
    <w:rsid w:val="00444F56"/>
    <w:rsid w:val="00446488"/>
    <w:rsid w:val="004517AA"/>
    <w:rsid w:val="00452CAC"/>
    <w:rsid w:val="00457565"/>
    <w:rsid w:val="00457661"/>
    <w:rsid w:val="00457B71"/>
    <w:rsid w:val="00465F03"/>
    <w:rsid w:val="004669E2"/>
    <w:rsid w:val="00470C31"/>
    <w:rsid w:val="00471DE0"/>
    <w:rsid w:val="00472848"/>
    <w:rsid w:val="004734D0"/>
    <w:rsid w:val="00474871"/>
    <w:rsid w:val="0047556B"/>
    <w:rsid w:val="00477768"/>
    <w:rsid w:val="0048012B"/>
    <w:rsid w:val="00490192"/>
    <w:rsid w:val="00491178"/>
    <w:rsid w:val="00492BC5"/>
    <w:rsid w:val="004950BA"/>
    <w:rsid w:val="004964F1"/>
    <w:rsid w:val="0049777B"/>
    <w:rsid w:val="004A16BC"/>
    <w:rsid w:val="004A2B94"/>
    <w:rsid w:val="004A5C78"/>
    <w:rsid w:val="004A6094"/>
    <w:rsid w:val="004A6301"/>
    <w:rsid w:val="004B3054"/>
    <w:rsid w:val="004B6F6A"/>
    <w:rsid w:val="004B7C0C"/>
    <w:rsid w:val="004C3898"/>
    <w:rsid w:val="004C4E8F"/>
    <w:rsid w:val="004C7209"/>
    <w:rsid w:val="004D36B1"/>
    <w:rsid w:val="004D371E"/>
    <w:rsid w:val="004D7EBD"/>
    <w:rsid w:val="004E15AF"/>
    <w:rsid w:val="004E16B3"/>
    <w:rsid w:val="004E2680"/>
    <w:rsid w:val="004E28F9"/>
    <w:rsid w:val="004E462E"/>
    <w:rsid w:val="004E4A55"/>
    <w:rsid w:val="004E4D1C"/>
    <w:rsid w:val="004E56DC"/>
    <w:rsid w:val="004E76F4"/>
    <w:rsid w:val="004F0B4E"/>
    <w:rsid w:val="004F0B6C"/>
    <w:rsid w:val="004F0BB5"/>
    <w:rsid w:val="004F1AE7"/>
    <w:rsid w:val="004F2078"/>
    <w:rsid w:val="004F3891"/>
    <w:rsid w:val="004F38BD"/>
    <w:rsid w:val="004F4DA3"/>
    <w:rsid w:val="004F5ADC"/>
    <w:rsid w:val="00506557"/>
    <w:rsid w:val="0050677A"/>
    <w:rsid w:val="00510253"/>
    <w:rsid w:val="005108D0"/>
    <w:rsid w:val="005108D8"/>
    <w:rsid w:val="00510B4C"/>
    <w:rsid w:val="005116F9"/>
    <w:rsid w:val="00514757"/>
    <w:rsid w:val="00514E29"/>
    <w:rsid w:val="00514E88"/>
    <w:rsid w:val="005153A7"/>
    <w:rsid w:val="00515630"/>
    <w:rsid w:val="00517630"/>
    <w:rsid w:val="00517690"/>
    <w:rsid w:val="005219CF"/>
    <w:rsid w:val="0053488C"/>
    <w:rsid w:val="00534B59"/>
    <w:rsid w:val="005358E5"/>
    <w:rsid w:val="00536759"/>
    <w:rsid w:val="00537C62"/>
    <w:rsid w:val="005424A0"/>
    <w:rsid w:val="00544192"/>
    <w:rsid w:val="00545A4E"/>
    <w:rsid w:val="00546970"/>
    <w:rsid w:val="00546BAD"/>
    <w:rsid w:val="00554E19"/>
    <w:rsid w:val="0055652E"/>
    <w:rsid w:val="00560694"/>
    <w:rsid w:val="0056121F"/>
    <w:rsid w:val="005640C9"/>
    <w:rsid w:val="005659F7"/>
    <w:rsid w:val="00572505"/>
    <w:rsid w:val="0057427A"/>
    <w:rsid w:val="00580377"/>
    <w:rsid w:val="00582809"/>
    <w:rsid w:val="00584485"/>
    <w:rsid w:val="0058466B"/>
    <w:rsid w:val="0058798C"/>
    <w:rsid w:val="005900FA"/>
    <w:rsid w:val="0059064C"/>
    <w:rsid w:val="005907FB"/>
    <w:rsid w:val="005935A4"/>
    <w:rsid w:val="005948BE"/>
    <w:rsid w:val="005948C2"/>
    <w:rsid w:val="00595DCA"/>
    <w:rsid w:val="0059779B"/>
    <w:rsid w:val="005A209A"/>
    <w:rsid w:val="005A2966"/>
    <w:rsid w:val="005A4F3E"/>
    <w:rsid w:val="005A662D"/>
    <w:rsid w:val="005B1409"/>
    <w:rsid w:val="005B1D47"/>
    <w:rsid w:val="005B35D7"/>
    <w:rsid w:val="005B392A"/>
    <w:rsid w:val="005B3AA3"/>
    <w:rsid w:val="005B6F83"/>
    <w:rsid w:val="005C05FA"/>
    <w:rsid w:val="005C476A"/>
    <w:rsid w:val="005C74FB"/>
    <w:rsid w:val="005D1602"/>
    <w:rsid w:val="005E1C1D"/>
    <w:rsid w:val="005E2EF0"/>
    <w:rsid w:val="005E385F"/>
    <w:rsid w:val="005E5B81"/>
    <w:rsid w:val="005F2CB1"/>
    <w:rsid w:val="005F3025"/>
    <w:rsid w:val="005F5231"/>
    <w:rsid w:val="005F618C"/>
    <w:rsid w:val="005F70BD"/>
    <w:rsid w:val="005F7120"/>
    <w:rsid w:val="0060283C"/>
    <w:rsid w:val="00604F14"/>
    <w:rsid w:val="0060540A"/>
    <w:rsid w:val="00605DD8"/>
    <w:rsid w:val="006113C3"/>
    <w:rsid w:val="00611B83"/>
    <w:rsid w:val="00613257"/>
    <w:rsid w:val="00615DE1"/>
    <w:rsid w:val="00620A71"/>
    <w:rsid w:val="00620D80"/>
    <w:rsid w:val="006234A6"/>
    <w:rsid w:val="006279BA"/>
    <w:rsid w:val="00630001"/>
    <w:rsid w:val="006311B3"/>
    <w:rsid w:val="0063284C"/>
    <w:rsid w:val="0063521C"/>
    <w:rsid w:val="00636398"/>
    <w:rsid w:val="006368D3"/>
    <w:rsid w:val="00636F09"/>
    <w:rsid w:val="006377EC"/>
    <w:rsid w:val="0064151F"/>
    <w:rsid w:val="00641533"/>
    <w:rsid w:val="0064208D"/>
    <w:rsid w:val="00643475"/>
    <w:rsid w:val="0064396A"/>
    <w:rsid w:val="0064624E"/>
    <w:rsid w:val="00650AB9"/>
    <w:rsid w:val="006510C0"/>
    <w:rsid w:val="00653919"/>
    <w:rsid w:val="00655733"/>
    <w:rsid w:val="00655ACD"/>
    <w:rsid w:val="00656A92"/>
    <w:rsid w:val="00656DDE"/>
    <w:rsid w:val="0066011D"/>
    <w:rsid w:val="0066059B"/>
    <w:rsid w:val="006607C0"/>
    <w:rsid w:val="006613A6"/>
    <w:rsid w:val="00661E92"/>
    <w:rsid w:val="006627A2"/>
    <w:rsid w:val="00663192"/>
    <w:rsid w:val="006634E6"/>
    <w:rsid w:val="00664337"/>
    <w:rsid w:val="006655EE"/>
    <w:rsid w:val="006665C7"/>
    <w:rsid w:val="00667EE7"/>
    <w:rsid w:val="00670922"/>
    <w:rsid w:val="00670BE1"/>
    <w:rsid w:val="0067218F"/>
    <w:rsid w:val="00673F1F"/>
    <w:rsid w:val="006741F2"/>
    <w:rsid w:val="00674CC3"/>
    <w:rsid w:val="00675C72"/>
    <w:rsid w:val="006771F9"/>
    <w:rsid w:val="006776D7"/>
    <w:rsid w:val="00681003"/>
    <w:rsid w:val="006817C9"/>
    <w:rsid w:val="00683E5B"/>
    <w:rsid w:val="00683ECE"/>
    <w:rsid w:val="006930B6"/>
    <w:rsid w:val="00695DE3"/>
    <w:rsid w:val="00695FC2"/>
    <w:rsid w:val="00696949"/>
    <w:rsid w:val="00697052"/>
    <w:rsid w:val="006A037F"/>
    <w:rsid w:val="006A42F1"/>
    <w:rsid w:val="006A46FB"/>
    <w:rsid w:val="006A5E28"/>
    <w:rsid w:val="006A5FB2"/>
    <w:rsid w:val="006A697B"/>
    <w:rsid w:val="006A7AFF"/>
    <w:rsid w:val="006B13E6"/>
    <w:rsid w:val="006B1816"/>
    <w:rsid w:val="006B2099"/>
    <w:rsid w:val="006B50CF"/>
    <w:rsid w:val="006B6BA2"/>
    <w:rsid w:val="006B6BAE"/>
    <w:rsid w:val="006C00FA"/>
    <w:rsid w:val="006C03B8"/>
    <w:rsid w:val="006C09E4"/>
    <w:rsid w:val="006C29B2"/>
    <w:rsid w:val="006C5EC9"/>
    <w:rsid w:val="006C6059"/>
    <w:rsid w:val="006C7522"/>
    <w:rsid w:val="006D6F08"/>
    <w:rsid w:val="006E062C"/>
    <w:rsid w:val="006E1C82"/>
    <w:rsid w:val="006E28B7"/>
    <w:rsid w:val="006E2A9B"/>
    <w:rsid w:val="006E3310"/>
    <w:rsid w:val="006E4E39"/>
    <w:rsid w:val="006E4E86"/>
    <w:rsid w:val="006E565E"/>
    <w:rsid w:val="006E673D"/>
    <w:rsid w:val="006E7D3B"/>
    <w:rsid w:val="006F1B70"/>
    <w:rsid w:val="006F2E60"/>
    <w:rsid w:val="006F341D"/>
    <w:rsid w:val="006F3686"/>
    <w:rsid w:val="006F3CDE"/>
    <w:rsid w:val="006F58D4"/>
    <w:rsid w:val="006F6582"/>
    <w:rsid w:val="006F7773"/>
    <w:rsid w:val="006F7F9A"/>
    <w:rsid w:val="00700451"/>
    <w:rsid w:val="0070346E"/>
    <w:rsid w:val="00704EDB"/>
    <w:rsid w:val="007056C8"/>
    <w:rsid w:val="00706101"/>
    <w:rsid w:val="00707072"/>
    <w:rsid w:val="00707D61"/>
    <w:rsid w:val="007118F3"/>
    <w:rsid w:val="00712287"/>
    <w:rsid w:val="00712772"/>
    <w:rsid w:val="007135AC"/>
    <w:rsid w:val="007141F1"/>
    <w:rsid w:val="007148D3"/>
    <w:rsid w:val="00715B9A"/>
    <w:rsid w:val="007235E8"/>
    <w:rsid w:val="007237ED"/>
    <w:rsid w:val="00723838"/>
    <w:rsid w:val="007239FC"/>
    <w:rsid w:val="00724425"/>
    <w:rsid w:val="007257D0"/>
    <w:rsid w:val="00726C01"/>
    <w:rsid w:val="00726EA6"/>
    <w:rsid w:val="00727208"/>
    <w:rsid w:val="00727680"/>
    <w:rsid w:val="00730148"/>
    <w:rsid w:val="00731091"/>
    <w:rsid w:val="00731C69"/>
    <w:rsid w:val="007338D8"/>
    <w:rsid w:val="00734787"/>
    <w:rsid w:val="007348B1"/>
    <w:rsid w:val="007362A6"/>
    <w:rsid w:val="00736D7D"/>
    <w:rsid w:val="00737238"/>
    <w:rsid w:val="00740626"/>
    <w:rsid w:val="00740E58"/>
    <w:rsid w:val="007418E1"/>
    <w:rsid w:val="007445A0"/>
    <w:rsid w:val="0074524B"/>
    <w:rsid w:val="00747D8B"/>
    <w:rsid w:val="00750053"/>
    <w:rsid w:val="00751228"/>
    <w:rsid w:val="00751387"/>
    <w:rsid w:val="00752F41"/>
    <w:rsid w:val="00753EB2"/>
    <w:rsid w:val="007571E1"/>
    <w:rsid w:val="00757A16"/>
    <w:rsid w:val="00760492"/>
    <w:rsid w:val="007604B2"/>
    <w:rsid w:val="00760E93"/>
    <w:rsid w:val="00765281"/>
    <w:rsid w:val="00765285"/>
    <w:rsid w:val="00766BAD"/>
    <w:rsid w:val="0077204E"/>
    <w:rsid w:val="007728B8"/>
    <w:rsid w:val="007729A2"/>
    <w:rsid w:val="00773517"/>
    <w:rsid w:val="007755F2"/>
    <w:rsid w:val="00776971"/>
    <w:rsid w:val="00780A80"/>
    <w:rsid w:val="0078177E"/>
    <w:rsid w:val="0078187D"/>
    <w:rsid w:val="00781B25"/>
    <w:rsid w:val="0078304C"/>
    <w:rsid w:val="00783673"/>
    <w:rsid w:val="007850E2"/>
    <w:rsid w:val="00785490"/>
    <w:rsid w:val="007865B2"/>
    <w:rsid w:val="00791415"/>
    <w:rsid w:val="00791526"/>
    <w:rsid w:val="007925EA"/>
    <w:rsid w:val="00793CD8"/>
    <w:rsid w:val="00795C92"/>
    <w:rsid w:val="00796231"/>
    <w:rsid w:val="00796D34"/>
    <w:rsid w:val="007A0309"/>
    <w:rsid w:val="007A0F46"/>
    <w:rsid w:val="007A1CB3"/>
    <w:rsid w:val="007A306F"/>
    <w:rsid w:val="007A43A6"/>
    <w:rsid w:val="007A58A6"/>
    <w:rsid w:val="007A6363"/>
    <w:rsid w:val="007A68D6"/>
    <w:rsid w:val="007A6E45"/>
    <w:rsid w:val="007B2AB3"/>
    <w:rsid w:val="007B37D6"/>
    <w:rsid w:val="007B3D2D"/>
    <w:rsid w:val="007B50AE"/>
    <w:rsid w:val="007B50C1"/>
    <w:rsid w:val="007B51DF"/>
    <w:rsid w:val="007C05DD"/>
    <w:rsid w:val="007C0873"/>
    <w:rsid w:val="007C3D18"/>
    <w:rsid w:val="007C5791"/>
    <w:rsid w:val="007C60BF"/>
    <w:rsid w:val="007C6A07"/>
    <w:rsid w:val="007C736D"/>
    <w:rsid w:val="007C75A1"/>
    <w:rsid w:val="007C77A5"/>
    <w:rsid w:val="007D04E5"/>
    <w:rsid w:val="007D5901"/>
    <w:rsid w:val="007D7526"/>
    <w:rsid w:val="007E33BF"/>
    <w:rsid w:val="007E4610"/>
    <w:rsid w:val="007E4715"/>
    <w:rsid w:val="007E505B"/>
    <w:rsid w:val="007E7091"/>
    <w:rsid w:val="00803FAE"/>
    <w:rsid w:val="00804AB5"/>
    <w:rsid w:val="00805718"/>
    <w:rsid w:val="00805B55"/>
    <w:rsid w:val="0080605F"/>
    <w:rsid w:val="00807786"/>
    <w:rsid w:val="00811FCB"/>
    <w:rsid w:val="0081337F"/>
    <w:rsid w:val="008144B9"/>
    <w:rsid w:val="008158D6"/>
    <w:rsid w:val="00817196"/>
    <w:rsid w:val="008177B4"/>
    <w:rsid w:val="00822AB4"/>
    <w:rsid w:val="008235DB"/>
    <w:rsid w:val="00824AB4"/>
    <w:rsid w:val="00825C42"/>
    <w:rsid w:val="00825D25"/>
    <w:rsid w:val="00826AC6"/>
    <w:rsid w:val="00827D6F"/>
    <w:rsid w:val="00832F3C"/>
    <w:rsid w:val="00833EBB"/>
    <w:rsid w:val="008376AC"/>
    <w:rsid w:val="008414E6"/>
    <w:rsid w:val="00841519"/>
    <w:rsid w:val="008422B8"/>
    <w:rsid w:val="00843595"/>
    <w:rsid w:val="008444E8"/>
    <w:rsid w:val="008449E2"/>
    <w:rsid w:val="00844E80"/>
    <w:rsid w:val="008466FB"/>
    <w:rsid w:val="00846FE7"/>
    <w:rsid w:val="00850715"/>
    <w:rsid w:val="00853CB3"/>
    <w:rsid w:val="0085476F"/>
    <w:rsid w:val="00856911"/>
    <w:rsid w:val="008677FD"/>
    <w:rsid w:val="008706D4"/>
    <w:rsid w:val="00870F8A"/>
    <w:rsid w:val="008719A4"/>
    <w:rsid w:val="00871D23"/>
    <w:rsid w:val="00874312"/>
    <w:rsid w:val="0087437C"/>
    <w:rsid w:val="00875CD7"/>
    <w:rsid w:val="00875E6E"/>
    <w:rsid w:val="00876B4D"/>
    <w:rsid w:val="008779D4"/>
    <w:rsid w:val="00877F18"/>
    <w:rsid w:val="00880BA4"/>
    <w:rsid w:val="00892A29"/>
    <w:rsid w:val="008932B7"/>
    <w:rsid w:val="008941E3"/>
    <w:rsid w:val="00894A88"/>
    <w:rsid w:val="00894B5A"/>
    <w:rsid w:val="00895386"/>
    <w:rsid w:val="00895F09"/>
    <w:rsid w:val="008A21FF"/>
    <w:rsid w:val="008A2CE2"/>
    <w:rsid w:val="008A30AC"/>
    <w:rsid w:val="008A3AB2"/>
    <w:rsid w:val="008A44B8"/>
    <w:rsid w:val="008A4CAC"/>
    <w:rsid w:val="008A51A8"/>
    <w:rsid w:val="008A54C7"/>
    <w:rsid w:val="008A77D8"/>
    <w:rsid w:val="008B0483"/>
    <w:rsid w:val="008B120C"/>
    <w:rsid w:val="008B51A0"/>
    <w:rsid w:val="008B592A"/>
    <w:rsid w:val="008B7B5C"/>
    <w:rsid w:val="008C0C99"/>
    <w:rsid w:val="008C0E5F"/>
    <w:rsid w:val="008C2017"/>
    <w:rsid w:val="008C4958"/>
    <w:rsid w:val="008C4BAA"/>
    <w:rsid w:val="008C6AE8"/>
    <w:rsid w:val="008C6D2B"/>
    <w:rsid w:val="008C7573"/>
    <w:rsid w:val="008C75F4"/>
    <w:rsid w:val="008D00A5"/>
    <w:rsid w:val="008D13EB"/>
    <w:rsid w:val="008D34F1"/>
    <w:rsid w:val="008D39D8"/>
    <w:rsid w:val="008D6D1A"/>
    <w:rsid w:val="008E065E"/>
    <w:rsid w:val="008E0927"/>
    <w:rsid w:val="008E1909"/>
    <w:rsid w:val="008E7CE8"/>
    <w:rsid w:val="008F0405"/>
    <w:rsid w:val="008F1EAB"/>
    <w:rsid w:val="008F2948"/>
    <w:rsid w:val="008F33DC"/>
    <w:rsid w:val="008F3549"/>
    <w:rsid w:val="008F477F"/>
    <w:rsid w:val="008F54DD"/>
    <w:rsid w:val="008F5E96"/>
    <w:rsid w:val="0090021A"/>
    <w:rsid w:val="00902350"/>
    <w:rsid w:val="0090336B"/>
    <w:rsid w:val="0090339F"/>
    <w:rsid w:val="009037D8"/>
    <w:rsid w:val="009053AA"/>
    <w:rsid w:val="00906939"/>
    <w:rsid w:val="00910B7D"/>
    <w:rsid w:val="00911DFB"/>
    <w:rsid w:val="009139D9"/>
    <w:rsid w:val="00914AD8"/>
    <w:rsid w:val="00916079"/>
    <w:rsid w:val="00917CE9"/>
    <w:rsid w:val="00920BF2"/>
    <w:rsid w:val="00922010"/>
    <w:rsid w:val="009300B1"/>
    <w:rsid w:val="00931BD9"/>
    <w:rsid w:val="009320A1"/>
    <w:rsid w:val="0093304A"/>
    <w:rsid w:val="009368F3"/>
    <w:rsid w:val="00941636"/>
    <w:rsid w:val="00943742"/>
    <w:rsid w:val="00945C05"/>
    <w:rsid w:val="00946945"/>
    <w:rsid w:val="009469C4"/>
    <w:rsid w:val="00947713"/>
    <w:rsid w:val="00950006"/>
    <w:rsid w:val="00950DE7"/>
    <w:rsid w:val="0095262A"/>
    <w:rsid w:val="00953920"/>
    <w:rsid w:val="00953D47"/>
    <w:rsid w:val="009565C1"/>
    <w:rsid w:val="0095681E"/>
    <w:rsid w:val="009572D4"/>
    <w:rsid w:val="00960A47"/>
    <w:rsid w:val="00961921"/>
    <w:rsid w:val="00961A6F"/>
    <w:rsid w:val="00963113"/>
    <w:rsid w:val="0096430A"/>
    <w:rsid w:val="00964B47"/>
    <w:rsid w:val="00964EF1"/>
    <w:rsid w:val="0096554B"/>
    <w:rsid w:val="0096584A"/>
    <w:rsid w:val="00965A12"/>
    <w:rsid w:val="00971F08"/>
    <w:rsid w:val="00975BDA"/>
    <w:rsid w:val="0097603D"/>
    <w:rsid w:val="00976949"/>
    <w:rsid w:val="00977445"/>
    <w:rsid w:val="00980477"/>
    <w:rsid w:val="00980FD3"/>
    <w:rsid w:val="00984506"/>
    <w:rsid w:val="00984AD8"/>
    <w:rsid w:val="00985253"/>
    <w:rsid w:val="009853B3"/>
    <w:rsid w:val="00986E49"/>
    <w:rsid w:val="00990630"/>
    <w:rsid w:val="00991761"/>
    <w:rsid w:val="00991A1D"/>
    <w:rsid w:val="00994DCA"/>
    <w:rsid w:val="009960EC"/>
    <w:rsid w:val="009970DD"/>
    <w:rsid w:val="009A0FBA"/>
    <w:rsid w:val="009A153F"/>
    <w:rsid w:val="009A1601"/>
    <w:rsid w:val="009A3BB6"/>
    <w:rsid w:val="009A462D"/>
    <w:rsid w:val="009A5CBA"/>
    <w:rsid w:val="009A7427"/>
    <w:rsid w:val="009B1F0E"/>
    <w:rsid w:val="009B1F30"/>
    <w:rsid w:val="009B3AC2"/>
    <w:rsid w:val="009B4DF4"/>
    <w:rsid w:val="009B5161"/>
    <w:rsid w:val="009B564E"/>
    <w:rsid w:val="009B7E87"/>
    <w:rsid w:val="009C0169"/>
    <w:rsid w:val="009C1B67"/>
    <w:rsid w:val="009C403E"/>
    <w:rsid w:val="009C6249"/>
    <w:rsid w:val="009C63D4"/>
    <w:rsid w:val="009D4FF0"/>
    <w:rsid w:val="009D703C"/>
    <w:rsid w:val="009D718F"/>
    <w:rsid w:val="009E068F"/>
    <w:rsid w:val="009E14E0"/>
    <w:rsid w:val="009E2E72"/>
    <w:rsid w:val="009E35DB"/>
    <w:rsid w:val="009E47A3"/>
    <w:rsid w:val="009F08F3"/>
    <w:rsid w:val="009F1BD8"/>
    <w:rsid w:val="009F243A"/>
    <w:rsid w:val="009F344F"/>
    <w:rsid w:val="00A031D8"/>
    <w:rsid w:val="00A048A8"/>
    <w:rsid w:val="00A04F49"/>
    <w:rsid w:val="00A0655C"/>
    <w:rsid w:val="00A0659E"/>
    <w:rsid w:val="00A07451"/>
    <w:rsid w:val="00A13E54"/>
    <w:rsid w:val="00A1631F"/>
    <w:rsid w:val="00A16911"/>
    <w:rsid w:val="00A1784A"/>
    <w:rsid w:val="00A17F63"/>
    <w:rsid w:val="00A200BF"/>
    <w:rsid w:val="00A2193B"/>
    <w:rsid w:val="00A22E65"/>
    <w:rsid w:val="00A2351A"/>
    <w:rsid w:val="00A24ADD"/>
    <w:rsid w:val="00A264A9"/>
    <w:rsid w:val="00A26DCF"/>
    <w:rsid w:val="00A27785"/>
    <w:rsid w:val="00A30187"/>
    <w:rsid w:val="00A3448A"/>
    <w:rsid w:val="00A36297"/>
    <w:rsid w:val="00A41E2B"/>
    <w:rsid w:val="00A45B74"/>
    <w:rsid w:val="00A52437"/>
    <w:rsid w:val="00A52E1D"/>
    <w:rsid w:val="00A57CD0"/>
    <w:rsid w:val="00A61499"/>
    <w:rsid w:val="00A621AD"/>
    <w:rsid w:val="00A62A77"/>
    <w:rsid w:val="00A63483"/>
    <w:rsid w:val="00A657D7"/>
    <w:rsid w:val="00A660AC"/>
    <w:rsid w:val="00A667FD"/>
    <w:rsid w:val="00A67C34"/>
    <w:rsid w:val="00A67E6C"/>
    <w:rsid w:val="00A70E93"/>
    <w:rsid w:val="00A7153F"/>
    <w:rsid w:val="00A71B99"/>
    <w:rsid w:val="00A739D0"/>
    <w:rsid w:val="00A73D36"/>
    <w:rsid w:val="00A74FB2"/>
    <w:rsid w:val="00A761D4"/>
    <w:rsid w:val="00A77EC4"/>
    <w:rsid w:val="00A8585E"/>
    <w:rsid w:val="00A8735E"/>
    <w:rsid w:val="00A92879"/>
    <w:rsid w:val="00A9442A"/>
    <w:rsid w:val="00A94B47"/>
    <w:rsid w:val="00AA016F"/>
    <w:rsid w:val="00AA1903"/>
    <w:rsid w:val="00AA1BAC"/>
    <w:rsid w:val="00AA1ED6"/>
    <w:rsid w:val="00AA51D6"/>
    <w:rsid w:val="00AB0BC8"/>
    <w:rsid w:val="00AB11CA"/>
    <w:rsid w:val="00AB14D9"/>
    <w:rsid w:val="00AB32A6"/>
    <w:rsid w:val="00AB34F0"/>
    <w:rsid w:val="00AB4AB8"/>
    <w:rsid w:val="00AB4FE3"/>
    <w:rsid w:val="00AB655E"/>
    <w:rsid w:val="00AB755F"/>
    <w:rsid w:val="00AC007F"/>
    <w:rsid w:val="00AC0F46"/>
    <w:rsid w:val="00AC1625"/>
    <w:rsid w:val="00AC1E35"/>
    <w:rsid w:val="00AC2ECD"/>
    <w:rsid w:val="00AC3119"/>
    <w:rsid w:val="00AC49FB"/>
    <w:rsid w:val="00AC58B1"/>
    <w:rsid w:val="00AC5A10"/>
    <w:rsid w:val="00AC5EB5"/>
    <w:rsid w:val="00AC7C84"/>
    <w:rsid w:val="00AD0AA3"/>
    <w:rsid w:val="00AD2095"/>
    <w:rsid w:val="00AD3F94"/>
    <w:rsid w:val="00AD4A5A"/>
    <w:rsid w:val="00AE0736"/>
    <w:rsid w:val="00AE27AC"/>
    <w:rsid w:val="00AE40E0"/>
    <w:rsid w:val="00AE4DBA"/>
    <w:rsid w:val="00AE4F07"/>
    <w:rsid w:val="00AF1693"/>
    <w:rsid w:val="00AF1C5D"/>
    <w:rsid w:val="00AF42D7"/>
    <w:rsid w:val="00AF5978"/>
    <w:rsid w:val="00B006FE"/>
    <w:rsid w:val="00B007CB"/>
    <w:rsid w:val="00B02AA9"/>
    <w:rsid w:val="00B02FA3"/>
    <w:rsid w:val="00B05084"/>
    <w:rsid w:val="00B11319"/>
    <w:rsid w:val="00B11EBD"/>
    <w:rsid w:val="00B157F9"/>
    <w:rsid w:val="00B15986"/>
    <w:rsid w:val="00B20256"/>
    <w:rsid w:val="00B20D09"/>
    <w:rsid w:val="00B210EA"/>
    <w:rsid w:val="00B23957"/>
    <w:rsid w:val="00B25710"/>
    <w:rsid w:val="00B266B7"/>
    <w:rsid w:val="00B2763F"/>
    <w:rsid w:val="00B27AAC"/>
    <w:rsid w:val="00B30929"/>
    <w:rsid w:val="00B32568"/>
    <w:rsid w:val="00B34732"/>
    <w:rsid w:val="00B372AA"/>
    <w:rsid w:val="00B40445"/>
    <w:rsid w:val="00B409E0"/>
    <w:rsid w:val="00B40AFF"/>
    <w:rsid w:val="00B40F7C"/>
    <w:rsid w:val="00B41732"/>
    <w:rsid w:val="00B41888"/>
    <w:rsid w:val="00B431A8"/>
    <w:rsid w:val="00B44A83"/>
    <w:rsid w:val="00B45A52"/>
    <w:rsid w:val="00B46175"/>
    <w:rsid w:val="00B5138B"/>
    <w:rsid w:val="00B54771"/>
    <w:rsid w:val="00B548B7"/>
    <w:rsid w:val="00B551DC"/>
    <w:rsid w:val="00B5554D"/>
    <w:rsid w:val="00B563CD"/>
    <w:rsid w:val="00B6417A"/>
    <w:rsid w:val="00B664C7"/>
    <w:rsid w:val="00B739F6"/>
    <w:rsid w:val="00B76C6C"/>
    <w:rsid w:val="00B81A6C"/>
    <w:rsid w:val="00B85DE5"/>
    <w:rsid w:val="00B90F73"/>
    <w:rsid w:val="00B925B4"/>
    <w:rsid w:val="00B93B59"/>
    <w:rsid w:val="00B9406A"/>
    <w:rsid w:val="00B97E44"/>
    <w:rsid w:val="00BA2280"/>
    <w:rsid w:val="00BA2A08"/>
    <w:rsid w:val="00BA56D2"/>
    <w:rsid w:val="00BA6D62"/>
    <w:rsid w:val="00BA76E0"/>
    <w:rsid w:val="00BB0684"/>
    <w:rsid w:val="00BB2A25"/>
    <w:rsid w:val="00BB51E9"/>
    <w:rsid w:val="00BB5624"/>
    <w:rsid w:val="00BB7703"/>
    <w:rsid w:val="00BB7872"/>
    <w:rsid w:val="00BC0FDC"/>
    <w:rsid w:val="00BC18A9"/>
    <w:rsid w:val="00BC3053"/>
    <w:rsid w:val="00BC3CDE"/>
    <w:rsid w:val="00BC4D2E"/>
    <w:rsid w:val="00BD48AC"/>
    <w:rsid w:val="00BD5021"/>
    <w:rsid w:val="00BD5F1A"/>
    <w:rsid w:val="00BE1234"/>
    <w:rsid w:val="00BE13C3"/>
    <w:rsid w:val="00BE2FA6"/>
    <w:rsid w:val="00BE333F"/>
    <w:rsid w:val="00BE5255"/>
    <w:rsid w:val="00BE717D"/>
    <w:rsid w:val="00BE7406"/>
    <w:rsid w:val="00BE7603"/>
    <w:rsid w:val="00BF0D4E"/>
    <w:rsid w:val="00BF3279"/>
    <w:rsid w:val="00BF74C7"/>
    <w:rsid w:val="00C015F1"/>
    <w:rsid w:val="00C01F33"/>
    <w:rsid w:val="00C02CC6"/>
    <w:rsid w:val="00C0375D"/>
    <w:rsid w:val="00C040F7"/>
    <w:rsid w:val="00C044AB"/>
    <w:rsid w:val="00C05706"/>
    <w:rsid w:val="00C07377"/>
    <w:rsid w:val="00C10478"/>
    <w:rsid w:val="00C12107"/>
    <w:rsid w:val="00C14D4B"/>
    <w:rsid w:val="00C154BB"/>
    <w:rsid w:val="00C219F5"/>
    <w:rsid w:val="00C25CF6"/>
    <w:rsid w:val="00C268E6"/>
    <w:rsid w:val="00C279B5"/>
    <w:rsid w:val="00C27C45"/>
    <w:rsid w:val="00C31711"/>
    <w:rsid w:val="00C348A4"/>
    <w:rsid w:val="00C35681"/>
    <w:rsid w:val="00C366CD"/>
    <w:rsid w:val="00C3719D"/>
    <w:rsid w:val="00C37CB2"/>
    <w:rsid w:val="00C473A5"/>
    <w:rsid w:val="00C507C3"/>
    <w:rsid w:val="00C53388"/>
    <w:rsid w:val="00C54995"/>
    <w:rsid w:val="00C54D41"/>
    <w:rsid w:val="00C60783"/>
    <w:rsid w:val="00C60B7E"/>
    <w:rsid w:val="00C62374"/>
    <w:rsid w:val="00C64672"/>
    <w:rsid w:val="00C70697"/>
    <w:rsid w:val="00C72093"/>
    <w:rsid w:val="00C72EF4"/>
    <w:rsid w:val="00C744FE"/>
    <w:rsid w:val="00C75D2F"/>
    <w:rsid w:val="00C767BE"/>
    <w:rsid w:val="00C76A2F"/>
    <w:rsid w:val="00C76E3C"/>
    <w:rsid w:val="00C8089B"/>
    <w:rsid w:val="00C81568"/>
    <w:rsid w:val="00C84F7C"/>
    <w:rsid w:val="00C8701F"/>
    <w:rsid w:val="00C9027A"/>
    <w:rsid w:val="00C9068E"/>
    <w:rsid w:val="00C9220D"/>
    <w:rsid w:val="00C93814"/>
    <w:rsid w:val="00C93C4B"/>
    <w:rsid w:val="00C9438E"/>
    <w:rsid w:val="00C944AB"/>
    <w:rsid w:val="00C958D8"/>
    <w:rsid w:val="00C95B40"/>
    <w:rsid w:val="00CA0085"/>
    <w:rsid w:val="00CA1ED8"/>
    <w:rsid w:val="00CA48FD"/>
    <w:rsid w:val="00CA5D4C"/>
    <w:rsid w:val="00CB1F63"/>
    <w:rsid w:val="00CB6291"/>
    <w:rsid w:val="00CB7170"/>
    <w:rsid w:val="00CC040E"/>
    <w:rsid w:val="00CC111F"/>
    <w:rsid w:val="00CC2011"/>
    <w:rsid w:val="00CC2545"/>
    <w:rsid w:val="00CC3EA0"/>
    <w:rsid w:val="00CC7B45"/>
    <w:rsid w:val="00CD0053"/>
    <w:rsid w:val="00CD1188"/>
    <w:rsid w:val="00CD2B2D"/>
    <w:rsid w:val="00CD2ED1"/>
    <w:rsid w:val="00CD337B"/>
    <w:rsid w:val="00CD79F0"/>
    <w:rsid w:val="00CE0424"/>
    <w:rsid w:val="00CE2CE8"/>
    <w:rsid w:val="00CE3C2C"/>
    <w:rsid w:val="00CE7561"/>
    <w:rsid w:val="00CF0AC2"/>
    <w:rsid w:val="00CF1354"/>
    <w:rsid w:val="00CF3B1F"/>
    <w:rsid w:val="00CF3BF6"/>
    <w:rsid w:val="00CF3E84"/>
    <w:rsid w:val="00CF614A"/>
    <w:rsid w:val="00CF625B"/>
    <w:rsid w:val="00CF687E"/>
    <w:rsid w:val="00D02ADE"/>
    <w:rsid w:val="00D0349B"/>
    <w:rsid w:val="00D10249"/>
    <w:rsid w:val="00D115C3"/>
    <w:rsid w:val="00D11897"/>
    <w:rsid w:val="00D13135"/>
    <w:rsid w:val="00D13E4E"/>
    <w:rsid w:val="00D1572D"/>
    <w:rsid w:val="00D15E80"/>
    <w:rsid w:val="00D15FC4"/>
    <w:rsid w:val="00D17EAE"/>
    <w:rsid w:val="00D239A7"/>
    <w:rsid w:val="00D23DFF"/>
    <w:rsid w:val="00D23F47"/>
    <w:rsid w:val="00D34052"/>
    <w:rsid w:val="00D36E71"/>
    <w:rsid w:val="00D37B11"/>
    <w:rsid w:val="00D37D87"/>
    <w:rsid w:val="00D40B33"/>
    <w:rsid w:val="00D4318F"/>
    <w:rsid w:val="00D438BF"/>
    <w:rsid w:val="00D439C1"/>
    <w:rsid w:val="00D440F8"/>
    <w:rsid w:val="00D458C4"/>
    <w:rsid w:val="00D4748D"/>
    <w:rsid w:val="00D47E1B"/>
    <w:rsid w:val="00D50646"/>
    <w:rsid w:val="00D52D44"/>
    <w:rsid w:val="00D52FFF"/>
    <w:rsid w:val="00D544AF"/>
    <w:rsid w:val="00D546FF"/>
    <w:rsid w:val="00D55AD5"/>
    <w:rsid w:val="00D576CA"/>
    <w:rsid w:val="00D61AF5"/>
    <w:rsid w:val="00D652B5"/>
    <w:rsid w:val="00D66155"/>
    <w:rsid w:val="00D708B0"/>
    <w:rsid w:val="00D729BC"/>
    <w:rsid w:val="00D754AF"/>
    <w:rsid w:val="00D77B1D"/>
    <w:rsid w:val="00D8021F"/>
    <w:rsid w:val="00D80383"/>
    <w:rsid w:val="00D823C6"/>
    <w:rsid w:val="00D83229"/>
    <w:rsid w:val="00D8327F"/>
    <w:rsid w:val="00D86CA3"/>
    <w:rsid w:val="00D871CE"/>
    <w:rsid w:val="00D9196D"/>
    <w:rsid w:val="00D91FFE"/>
    <w:rsid w:val="00D92982"/>
    <w:rsid w:val="00D92D57"/>
    <w:rsid w:val="00D9310F"/>
    <w:rsid w:val="00D95D0E"/>
    <w:rsid w:val="00D96F0C"/>
    <w:rsid w:val="00D978E1"/>
    <w:rsid w:val="00DA305E"/>
    <w:rsid w:val="00DA5417"/>
    <w:rsid w:val="00DA56E8"/>
    <w:rsid w:val="00DB0002"/>
    <w:rsid w:val="00DB0A9F"/>
    <w:rsid w:val="00DB377D"/>
    <w:rsid w:val="00DB721C"/>
    <w:rsid w:val="00DC1AFE"/>
    <w:rsid w:val="00DC2953"/>
    <w:rsid w:val="00DC2D36"/>
    <w:rsid w:val="00DC53EF"/>
    <w:rsid w:val="00DD0E3F"/>
    <w:rsid w:val="00DD58A8"/>
    <w:rsid w:val="00DD5A70"/>
    <w:rsid w:val="00DD5F33"/>
    <w:rsid w:val="00DD63E4"/>
    <w:rsid w:val="00DE10F2"/>
    <w:rsid w:val="00DE5608"/>
    <w:rsid w:val="00DE58D0"/>
    <w:rsid w:val="00DE654F"/>
    <w:rsid w:val="00DF0B6E"/>
    <w:rsid w:val="00DF15E0"/>
    <w:rsid w:val="00DF37A0"/>
    <w:rsid w:val="00DF5F19"/>
    <w:rsid w:val="00E110E7"/>
    <w:rsid w:val="00E11B20"/>
    <w:rsid w:val="00E135F2"/>
    <w:rsid w:val="00E15117"/>
    <w:rsid w:val="00E17FA2"/>
    <w:rsid w:val="00E214D1"/>
    <w:rsid w:val="00E22330"/>
    <w:rsid w:val="00E25991"/>
    <w:rsid w:val="00E30B5A"/>
    <w:rsid w:val="00E3123D"/>
    <w:rsid w:val="00E31461"/>
    <w:rsid w:val="00E31A9A"/>
    <w:rsid w:val="00E31D43"/>
    <w:rsid w:val="00E32608"/>
    <w:rsid w:val="00E33A50"/>
    <w:rsid w:val="00E34188"/>
    <w:rsid w:val="00E34412"/>
    <w:rsid w:val="00E34B6E"/>
    <w:rsid w:val="00E35559"/>
    <w:rsid w:val="00E3723A"/>
    <w:rsid w:val="00E37860"/>
    <w:rsid w:val="00E41027"/>
    <w:rsid w:val="00E4299E"/>
    <w:rsid w:val="00E42CF1"/>
    <w:rsid w:val="00E44619"/>
    <w:rsid w:val="00E446F1"/>
    <w:rsid w:val="00E46886"/>
    <w:rsid w:val="00E47AEF"/>
    <w:rsid w:val="00E53B75"/>
    <w:rsid w:val="00E54E3B"/>
    <w:rsid w:val="00E5510E"/>
    <w:rsid w:val="00E57565"/>
    <w:rsid w:val="00E623CA"/>
    <w:rsid w:val="00E624C0"/>
    <w:rsid w:val="00E63838"/>
    <w:rsid w:val="00E64434"/>
    <w:rsid w:val="00E67C51"/>
    <w:rsid w:val="00E72252"/>
    <w:rsid w:val="00E72EFC"/>
    <w:rsid w:val="00E74EC8"/>
    <w:rsid w:val="00E758EC"/>
    <w:rsid w:val="00E76460"/>
    <w:rsid w:val="00E7754A"/>
    <w:rsid w:val="00E808B2"/>
    <w:rsid w:val="00E8234C"/>
    <w:rsid w:val="00E83AA9"/>
    <w:rsid w:val="00E84E2E"/>
    <w:rsid w:val="00E85928"/>
    <w:rsid w:val="00E85AA3"/>
    <w:rsid w:val="00E87799"/>
    <w:rsid w:val="00E87822"/>
    <w:rsid w:val="00E90395"/>
    <w:rsid w:val="00E90E49"/>
    <w:rsid w:val="00E917F9"/>
    <w:rsid w:val="00E9291C"/>
    <w:rsid w:val="00E93FFE"/>
    <w:rsid w:val="00E94F8A"/>
    <w:rsid w:val="00E97995"/>
    <w:rsid w:val="00EA12E1"/>
    <w:rsid w:val="00EA4A86"/>
    <w:rsid w:val="00EA4D53"/>
    <w:rsid w:val="00EA558A"/>
    <w:rsid w:val="00EA7A41"/>
    <w:rsid w:val="00EB077B"/>
    <w:rsid w:val="00EB4EA2"/>
    <w:rsid w:val="00EB61E2"/>
    <w:rsid w:val="00EB6AA9"/>
    <w:rsid w:val="00EC24D5"/>
    <w:rsid w:val="00EC27C6"/>
    <w:rsid w:val="00EC37D3"/>
    <w:rsid w:val="00EC4207"/>
    <w:rsid w:val="00EC5323"/>
    <w:rsid w:val="00EC5653"/>
    <w:rsid w:val="00EC6995"/>
    <w:rsid w:val="00EC71CE"/>
    <w:rsid w:val="00EC7856"/>
    <w:rsid w:val="00ED1006"/>
    <w:rsid w:val="00ED24D3"/>
    <w:rsid w:val="00ED2B09"/>
    <w:rsid w:val="00ED626D"/>
    <w:rsid w:val="00ED79A8"/>
    <w:rsid w:val="00EE2157"/>
    <w:rsid w:val="00EE7226"/>
    <w:rsid w:val="00EF18FE"/>
    <w:rsid w:val="00EF2677"/>
    <w:rsid w:val="00EF5242"/>
    <w:rsid w:val="00EF54EA"/>
    <w:rsid w:val="00EF5787"/>
    <w:rsid w:val="00EF60D0"/>
    <w:rsid w:val="00EF6EF5"/>
    <w:rsid w:val="00F0528D"/>
    <w:rsid w:val="00F06C67"/>
    <w:rsid w:val="00F06DFD"/>
    <w:rsid w:val="00F071D1"/>
    <w:rsid w:val="00F07533"/>
    <w:rsid w:val="00F10629"/>
    <w:rsid w:val="00F10CC0"/>
    <w:rsid w:val="00F15FA5"/>
    <w:rsid w:val="00F209B7"/>
    <w:rsid w:val="00F20F5C"/>
    <w:rsid w:val="00F21B64"/>
    <w:rsid w:val="00F2376F"/>
    <w:rsid w:val="00F23B29"/>
    <w:rsid w:val="00F243D8"/>
    <w:rsid w:val="00F263AD"/>
    <w:rsid w:val="00F30828"/>
    <w:rsid w:val="00F313D6"/>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C2B"/>
    <w:rsid w:val="00F651BE"/>
    <w:rsid w:val="00F65B82"/>
    <w:rsid w:val="00F67F53"/>
    <w:rsid w:val="00F703BE"/>
    <w:rsid w:val="00F70BCA"/>
    <w:rsid w:val="00F71F69"/>
    <w:rsid w:val="00F72B72"/>
    <w:rsid w:val="00F74BB9"/>
    <w:rsid w:val="00F75582"/>
    <w:rsid w:val="00F76EFA"/>
    <w:rsid w:val="00F804BE"/>
    <w:rsid w:val="00F817CE"/>
    <w:rsid w:val="00F843AA"/>
    <w:rsid w:val="00F8456C"/>
    <w:rsid w:val="00F859D8"/>
    <w:rsid w:val="00F868F5"/>
    <w:rsid w:val="00F879B6"/>
    <w:rsid w:val="00F9056A"/>
    <w:rsid w:val="00F90F8D"/>
    <w:rsid w:val="00F91D77"/>
    <w:rsid w:val="00F92782"/>
    <w:rsid w:val="00F93AA9"/>
    <w:rsid w:val="00F95B97"/>
    <w:rsid w:val="00F96985"/>
    <w:rsid w:val="00F97838"/>
    <w:rsid w:val="00FA1DC0"/>
    <w:rsid w:val="00FA2001"/>
    <w:rsid w:val="00FA2BB3"/>
    <w:rsid w:val="00FA4676"/>
    <w:rsid w:val="00FA73E5"/>
    <w:rsid w:val="00FB4C80"/>
    <w:rsid w:val="00FB52C8"/>
    <w:rsid w:val="00FB6A6A"/>
    <w:rsid w:val="00FB7627"/>
    <w:rsid w:val="00FC13EA"/>
    <w:rsid w:val="00FC251F"/>
    <w:rsid w:val="00FC4761"/>
    <w:rsid w:val="00FC7429"/>
    <w:rsid w:val="00FD02C8"/>
    <w:rsid w:val="00FD07F6"/>
    <w:rsid w:val="00FD0FC6"/>
    <w:rsid w:val="00FD1EC8"/>
    <w:rsid w:val="00FD21FE"/>
    <w:rsid w:val="00FD231E"/>
    <w:rsid w:val="00FD47ED"/>
    <w:rsid w:val="00FD62E2"/>
    <w:rsid w:val="00FD74DB"/>
    <w:rsid w:val="00FD7660"/>
    <w:rsid w:val="00FD7C44"/>
    <w:rsid w:val="00FE0655"/>
    <w:rsid w:val="00FE2365"/>
    <w:rsid w:val="00FE37D7"/>
    <w:rsid w:val="00FE3951"/>
    <w:rsid w:val="00FE4C7B"/>
    <w:rsid w:val="00FE7336"/>
    <w:rsid w:val="00FE787C"/>
    <w:rsid w:val="00FF060C"/>
    <w:rsid w:val="00FF2244"/>
    <w:rsid w:val="00FF2D16"/>
    <w:rsid w:val="00FF45A5"/>
    <w:rsid w:val="00FF5247"/>
    <w:rsid w:val="00FF5C91"/>
    <w:rsid w:val="00FF7C6E"/>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A8074AE3-015D-4D97-B617-9EEED7AB5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4553">
      <w:bodyDiv w:val="1"/>
      <w:marLeft w:val="0"/>
      <w:marRight w:val="0"/>
      <w:marTop w:val="0"/>
      <w:marBottom w:val="0"/>
      <w:divBdr>
        <w:top w:val="none" w:sz="0" w:space="0" w:color="auto"/>
        <w:left w:val="none" w:sz="0" w:space="0" w:color="auto"/>
        <w:bottom w:val="none" w:sz="0" w:space="0" w:color="auto"/>
        <w:right w:val="none" w:sz="0" w:space="0" w:color="auto"/>
      </w:divBdr>
    </w:div>
    <w:div w:id="616375136">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789858245">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F3B54F2-6A96-4946-BBB1-3A8615449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E4A64-8AE4-467C-AAF3-C354BA18A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5</Pages>
  <Words>2045</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2008-02-01T01:09:00Z</cp:lastPrinted>
  <dcterms:created xsi:type="dcterms:W3CDTF">2021-08-05T19:13:00Z</dcterms:created>
  <dcterms:modified xsi:type="dcterms:W3CDTF">2021-08-05T19:13:00Z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